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spacing w:line="360" w:lineRule="auto"/>
        <w:jc w:val="center"/>
        <w:outlineLvl w:val="0"/>
        <w:rPr>
          <w:rFonts w:ascii="仿宋" w:hAnsi="仿宋" w:eastAsia="仿宋"/>
          <w:b/>
          <w:color w:val="auto"/>
          <w:sz w:val="44"/>
          <w:szCs w:val="44"/>
        </w:rPr>
      </w:pPr>
      <w:bookmarkStart w:id="0" w:name="_Toc177985424"/>
      <w:bookmarkStart w:id="1" w:name="_Toc216241307"/>
      <w:bookmarkStart w:id="2" w:name="_Toc211937196"/>
      <w:bookmarkStart w:id="3" w:name="_Toc223146565"/>
      <w:bookmarkStart w:id="4" w:name="_Toc259520819"/>
      <w:bookmarkStart w:id="5" w:name="_Toc235438297"/>
      <w:bookmarkStart w:id="6" w:name="_Toc235437942"/>
      <w:bookmarkStart w:id="7" w:name="_Toc267059899"/>
      <w:bookmarkStart w:id="8" w:name="_Toc267059010"/>
      <w:bookmarkStart w:id="9" w:name="_Toc266870861"/>
      <w:bookmarkStart w:id="10" w:name="_Toc258401210"/>
      <w:bookmarkStart w:id="11" w:name="_Toc217891359"/>
      <w:bookmarkStart w:id="12" w:name="_Toc169332794"/>
      <w:bookmarkStart w:id="13" w:name="_Toc255974963"/>
      <w:bookmarkStart w:id="14" w:name="_Toc266870386"/>
      <w:bookmarkStart w:id="15" w:name="_Toc273178686"/>
      <w:bookmarkStart w:id="16" w:name="_Toc253066567"/>
      <w:bookmarkStart w:id="17" w:name="_Toc259692693"/>
      <w:bookmarkStart w:id="18" w:name="_Toc236021402"/>
      <w:bookmarkStart w:id="19" w:name="_Toc219800200"/>
      <w:bookmarkStart w:id="20" w:name="_Toc266868624"/>
      <w:bookmarkStart w:id="21" w:name="_Toc249325665"/>
      <w:bookmarkStart w:id="22" w:name="_Toc212454753"/>
      <w:bookmarkStart w:id="23" w:name="_Toc259692600"/>
      <w:bookmarkStart w:id="24" w:name="_Toc235438227"/>
      <w:bookmarkStart w:id="25" w:name="_Toc251586187"/>
      <w:bookmarkStart w:id="26" w:name="_Toc207014580"/>
      <w:bookmarkStart w:id="27" w:name="_Toc267060407"/>
      <w:bookmarkStart w:id="28" w:name="_Toc170798743"/>
      <w:bookmarkStart w:id="29" w:name="_Toc160880487"/>
      <w:bookmarkStart w:id="30" w:name="_Toc267059519"/>
      <w:bookmarkStart w:id="31" w:name="_Toc267059161"/>
      <w:bookmarkStart w:id="32" w:name="_Toc212456146"/>
      <w:bookmarkStart w:id="33" w:name="_Toc169332904"/>
      <w:bookmarkStart w:id="34" w:name="_Toc227058483"/>
      <w:bookmarkStart w:id="35" w:name="_Toc212530253"/>
      <w:bookmarkStart w:id="36" w:name="_Toc267059786"/>
      <w:bookmarkStart w:id="37" w:name="_Toc266868924"/>
      <w:bookmarkStart w:id="38" w:name="_Toc267060022"/>
      <w:bookmarkStart w:id="39" w:name="_Toc267059633"/>
      <w:bookmarkStart w:id="40" w:name="_Toc254790852"/>
      <w:bookmarkStart w:id="41" w:name="_Toc225669277"/>
      <w:bookmarkStart w:id="42" w:name="_Toc267060162"/>
      <w:bookmarkStart w:id="43" w:name="_Toc251613780"/>
      <w:bookmarkStart w:id="44" w:name="_Toc212526081"/>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364" w:firstLineChars="152"/>
        <w:jc w:val="left"/>
        <w:rPr>
          <w:rFonts w:hint="eastAsia" w:ascii="仿宋" w:hAnsi="仿宋" w:eastAsia="仿宋"/>
          <w:color w:val="000000"/>
          <w:sz w:val="24"/>
          <w:szCs w:val="24"/>
        </w:rPr>
      </w:pPr>
      <w:bookmarkStart w:id="45" w:name="_Hlk10840310"/>
      <w:r>
        <w:rPr>
          <w:rFonts w:hint="eastAsia" w:ascii="仿宋" w:hAnsi="仿宋" w:eastAsia="仿宋"/>
          <w:color w:val="000000"/>
          <w:sz w:val="24"/>
          <w:szCs w:val="24"/>
        </w:rPr>
        <w:t>广州松田职业学院是一所经</w:t>
      </w:r>
      <w:r>
        <w:rPr>
          <w:rFonts w:hint="eastAsia" w:ascii="仿宋" w:hAnsi="仿宋" w:eastAsia="仿宋"/>
          <w:color w:val="000000"/>
          <w:sz w:val="24"/>
          <w:szCs w:val="24"/>
        </w:rPr>
        <w:fldChar w:fldCharType="begin"/>
      </w:r>
      <w:r>
        <w:rPr>
          <w:rFonts w:hint="eastAsia" w:ascii="仿宋" w:hAnsi="仿宋" w:eastAsia="仿宋"/>
          <w:color w:val="000000"/>
          <w:sz w:val="24"/>
          <w:szCs w:val="24"/>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olor w:val="000000"/>
          <w:sz w:val="24"/>
          <w:szCs w:val="24"/>
        </w:rPr>
        <w:fldChar w:fldCharType="separate"/>
      </w:r>
      <w:r>
        <w:rPr>
          <w:rFonts w:hint="eastAsia" w:ascii="仿宋" w:hAnsi="仿宋" w:eastAsia="仿宋"/>
          <w:color w:val="000000"/>
          <w:sz w:val="24"/>
          <w:szCs w:val="24"/>
        </w:rPr>
        <w:t>广东省人民政府</w:t>
      </w:r>
      <w:r>
        <w:rPr>
          <w:rFonts w:hint="eastAsia" w:ascii="仿宋" w:hAnsi="仿宋" w:eastAsia="仿宋"/>
          <w:color w:val="000000"/>
          <w:sz w:val="24"/>
          <w:szCs w:val="24"/>
        </w:rPr>
        <w:fldChar w:fldCharType="end"/>
      </w:r>
      <w:r>
        <w:rPr>
          <w:rFonts w:hint="eastAsia" w:ascii="仿宋" w:hAnsi="仿宋" w:eastAsia="仿宋"/>
          <w:color w:val="000000"/>
          <w:sz w:val="24"/>
          <w:szCs w:val="24"/>
        </w:rPr>
        <w:t>批准、</w:t>
      </w:r>
      <w:r>
        <w:rPr>
          <w:rFonts w:hint="eastAsia" w:ascii="仿宋" w:hAnsi="仿宋" w:eastAsia="仿宋"/>
          <w:color w:val="000000"/>
          <w:sz w:val="24"/>
          <w:szCs w:val="24"/>
        </w:rPr>
        <w:fldChar w:fldCharType="begin"/>
      </w:r>
      <w:r>
        <w:rPr>
          <w:rFonts w:hint="eastAsia" w:ascii="仿宋" w:hAnsi="仿宋" w:eastAsia="仿宋"/>
          <w:color w:val="000000"/>
          <w:sz w:val="24"/>
          <w:szCs w:val="24"/>
        </w:rPr>
        <w:instrText xml:space="preserve"> HYPERLINK "https://baike.baidu.com/item/%E6%95%99%E8%82%B2%E9%83%A8/239078" \t "https://baike.baidu.com/item/%E5%B9%BF%E5%B7%9E%E6%9D%BE%E7%94%B0%E8%81%8C%E4%B8%9A%E5%AD%A6%E9%99%A2/_blank" </w:instrText>
      </w:r>
      <w:r>
        <w:rPr>
          <w:rFonts w:hint="eastAsia" w:ascii="仿宋" w:hAnsi="仿宋" w:eastAsia="仿宋"/>
          <w:color w:val="000000"/>
          <w:sz w:val="24"/>
          <w:szCs w:val="24"/>
        </w:rPr>
        <w:fldChar w:fldCharType="separate"/>
      </w:r>
      <w:r>
        <w:rPr>
          <w:rFonts w:hint="eastAsia" w:ascii="仿宋" w:hAnsi="仿宋" w:eastAsia="仿宋"/>
          <w:color w:val="000000"/>
          <w:sz w:val="24"/>
          <w:szCs w:val="24"/>
        </w:rPr>
        <w:t>教育部</w:t>
      </w:r>
      <w:r>
        <w:rPr>
          <w:rFonts w:hint="eastAsia" w:ascii="仿宋" w:hAnsi="仿宋" w:eastAsia="仿宋"/>
          <w:color w:val="000000"/>
          <w:sz w:val="24"/>
          <w:szCs w:val="24"/>
        </w:rPr>
        <w:fldChar w:fldCharType="end"/>
      </w:r>
      <w:r>
        <w:rPr>
          <w:rFonts w:hint="eastAsia" w:ascii="仿宋" w:hAnsi="仿宋" w:eastAsia="仿宋"/>
          <w:color w:val="000000"/>
          <w:sz w:val="24"/>
          <w:szCs w:val="24"/>
        </w:rPr>
        <w:t>备案的全日制普通高等职业学院，是中国教育集团（港股代码：00839）旗下的高校。根据需要，对</w:t>
      </w:r>
      <w:r>
        <w:rPr>
          <w:rFonts w:hint="eastAsia" w:ascii="仿宋" w:hAnsi="仿宋" w:eastAsia="仿宋"/>
          <w:color w:val="000000"/>
          <w:sz w:val="24"/>
          <w:szCs w:val="24"/>
          <w:lang w:val="en-US" w:eastAsia="zh-CN"/>
        </w:rPr>
        <w:t>本次项目</w:t>
      </w:r>
      <w:r>
        <w:rPr>
          <w:rFonts w:hint="eastAsia" w:ascii="仿宋" w:hAnsi="仿宋" w:eastAsia="仿宋"/>
          <w:color w:val="000000"/>
          <w:sz w:val="24"/>
          <w:szCs w:val="24"/>
        </w:rPr>
        <w:t>进行公开询价，欢迎国内合格参与人参与。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sz w:val="24"/>
          <w:szCs w:val="24"/>
          <w:lang w:val="en-US" w:eastAsia="zh-CN"/>
        </w:rPr>
        <w:t>B-XJ2022-11</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lang w:val="en-US" w:eastAsia="zh-CN"/>
        </w:rPr>
        <w:t>广州松田职业学院电钢琴实训室设备及耗材采购项目</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数量及主要技术要求:详见《公开询价货物一览表》。</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参与人资格标准：</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color w:val="auto"/>
          <w:sz w:val="24"/>
          <w:szCs w:val="24"/>
          <w:highlight w:val="none"/>
        </w:rPr>
        <w:t>参与人应具有独立法人资格的生产厂商</w:t>
      </w:r>
      <w:r>
        <w:rPr>
          <w:rFonts w:hint="eastAsia" w:ascii="仿宋" w:hAnsi="仿宋" w:eastAsia="仿宋"/>
          <w:sz w:val="24"/>
          <w:szCs w:val="24"/>
        </w:rPr>
        <w:t>或授权经销商。</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参与人应具有合法有效的营业执照，经营范围应包括</w:t>
      </w:r>
      <w:r>
        <w:rPr>
          <w:rFonts w:hint="eastAsia" w:ascii="仿宋" w:hAnsi="仿宋" w:eastAsia="仿宋"/>
          <w:sz w:val="24"/>
          <w:szCs w:val="24"/>
          <w:lang w:val="en-US" w:eastAsia="zh-CN"/>
        </w:rPr>
        <w:t>电钢琴实训室设备及耗材</w:t>
      </w:r>
      <w:r>
        <w:rPr>
          <w:rFonts w:hint="eastAsia" w:ascii="仿宋" w:hAnsi="仿宋" w:eastAsia="仿宋"/>
          <w:sz w:val="24"/>
          <w:szCs w:val="24"/>
        </w:rPr>
        <w:t>资质</w:t>
      </w:r>
      <w:r>
        <w:rPr>
          <w:rFonts w:hint="eastAsia" w:ascii="仿宋" w:hAnsi="仿宋" w:eastAsia="仿宋"/>
          <w:sz w:val="24"/>
          <w:szCs w:val="24"/>
          <w:lang w:eastAsia="zh-CN"/>
        </w:rPr>
        <w:t>。</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w:t>
      </w:r>
      <w:r>
        <w:rPr>
          <w:rFonts w:ascii="仿宋" w:hAnsi="仿宋" w:eastAsia="仿宋"/>
          <w:sz w:val="24"/>
          <w:szCs w:val="24"/>
        </w:rPr>
        <w:t>有提</w:t>
      </w:r>
      <w:r>
        <w:rPr>
          <w:rFonts w:hint="eastAsia" w:ascii="仿宋" w:hAnsi="仿宋" w:eastAsia="仿宋"/>
          <w:sz w:val="24"/>
          <w:szCs w:val="24"/>
        </w:rPr>
        <w:t>供</w:t>
      </w:r>
      <w:r>
        <w:rPr>
          <w:rFonts w:hint="eastAsia" w:ascii="仿宋" w:hAnsi="仿宋" w:eastAsia="仿宋"/>
          <w:sz w:val="24"/>
          <w:szCs w:val="24"/>
          <w:lang w:val="en-US" w:eastAsia="zh-CN"/>
        </w:rPr>
        <w:t>电钢琴实训室设备及耗材</w:t>
      </w:r>
      <w:r>
        <w:rPr>
          <w:rFonts w:ascii="仿宋" w:hAnsi="仿宋" w:eastAsia="仿宋"/>
          <w:sz w:val="24"/>
          <w:szCs w:val="24"/>
        </w:rPr>
        <w:t>和服务的资格</w:t>
      </w:r>
      <w:r>
        <w:rPr>
          <w:rFonts w:hint="eastAsia" w:ascii="仿宋" w:hAnsi="仿宋" w:eastAsia="仿宋"/>
          <w:sz w:val="24"/>
          <w:szCs w:val="24"/>
        </w:rPr>
        <w:t>及</w:t>
      </w:r>
      <w:r>
        <w:rPr>
          <w:rFonts w:ascii="仿宋" w:hAnsi="仿宋" w:eastAsia="仿宋"/>
          <w:sz w:val="24"/>
          <w:szCs w:val="24"/>
        </w:rPr>
        <w:t>能力</w:t>
      </w:r>
      <w:r>
        <w:rPr>
          <w:rFonts w:hint="eastAsia" w:ascii="仿宋" w:hAnsi="仿宋" w:eastAsia="仿宋"/>
          <w:sz w:val="24"/>
          <w:szCs w:val="24"/>
        </w:rPr>
        <w:t>，具备相应的维护保养能力。</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报价响应文件递交方式：密封报价，按规定时间</w:t>
      </w:r>
      <w:r>
        <w:rPr>
          <w:rFonts w:hint="eastAsia" w:ascii="仿宋" w:hAnsi="仿宋" w:eastAsia="仿宋"/>
          <w:sz w:val="24"/>
          <w:szCs w:val="24"/>
          <w:lang w:eastAsia="zh-CN"/>
        </w:rPr>
        <w:t>（</w:t>
      </w:r>
      <w:r>
        <w:rPr>
          <w:rFonts w:hint="eastAsia" w:ascii="仿宋" w:hAnsi="仿宋" w:eastAsia="仿宋"/>
          <w:sz w:val="24"/>
          <w:szCs w:val="24"/>
          <w:lang w:val="en-US" w:eastAsia="zh-CN"/>
        </w:rPr>
        <w:t>现场递交</w:t>
      </w:r>
      <w:r>
        <w:rPr>
          <w:rFonts w:hint="eastAsia" w:ascii="仿宋" w:hAnsi="仿宋" w:eastAsia="仿宋"/>
          <w:sz w:val="24"/>
          <w:szCs w:val="24"/>
          <w:lang w:eastAsia="zh-CN"/>
        </w:rPr>
        <w:t>）</w:t>
      </w:r>
      <w:r>
        <w:rPr>
          <w:rFonts w:hint="eastAsia" w:ascii="仿宋" w:hAnsi="仿宋" w:eastAsia="仿宋"/>
          <w:sz w:val="24"/>
          <w:szCs w:val="24"/>
        </w:rPr>
        <w:t>。</w:t>
      </w:r>
    </w:p>
    <w:p>
      <w:pPr>
        <w:widowControl w:val="0"/>
        <w:numPr>
          <w:ilvl w:val="1"/>
          <w:numId w:val="1"/>
        </w:numPr>
        <w:spacing w:after="0" w:line="460" w:lineRule="exact"/>
        <w:rPr>
          <w:rFonts w:ascii="仿宋" w:hAnsi="仿宋" w:eastAsia="仿宋"/>
          <w:b/>
          <w:bCs/>
          <w:sz w:val="24"/>
          <w:szCs w:val="24"/>
        </w:rPr>
      </w:pPr>
      <w:r>
        <w:rPr>
          <w:rFonts w:hint="eastAsia" w:ascii="仿宋" w:hAnsi="仿宋" w:eastAsia="仿宋"/>
          <w:b/>
          <w:bCs/>
          <w:sz w:val="24"/>
          <w:szCs w:val="24"/>
        </w:rPr>
        <w:t>本项目需参与人进行现场演示</w:t>
      </w:r>
      <w:r>
        <w:rPr>
          <w:rFonts w:hint="eastAsia" w:ascii="仿宋" w:hAnsi="仿宋" w:eastAsia="仿宋"/>
          <w:b/>
          <w:bCs/>
          <w:sz w:val="24"/>
          <w:szCs w:val="24"/>
          <w:lang w:eastAsia="zh-CN"/>
        </w:rPr>
        <w:t>。</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w:t>
      </w:r>
      <w:r>
        <w:rPr>
          <w:rFonts w:hint="eastAsia" w:ascii="仿宋" w:hAnsi="仿宋" w:eastAsia="仿宋"/>
          <w:color w:val="auto"/>
          <w:sz w:val="24"/>
          <w:szCs w:val="24"/>
        </w:rPr>
        <w:t>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2022</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08</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19</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lang w:val="en-US" w:eastAsia="zh-CN"/>
        </w:rPr>
        <w:t>下午16</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00</w:t>
      </w:r>
      <w:r>
        <w:rPr>
          <w:rFonts w:hint="eastAsia" w:ascii="仿宋" w:hAnsi="仿宋" w:eastAsia="仿宋"/>
          <w:color w:val="auto"/>
          <w:sz w:val="24"/>
          <w:szCs w:val="24"/>
          <w:shd w:val="clear" w:color="auto" w:fill="FFFFFF"/>
        </w:rPr>
        <w:t>前。</w:t>
      </w:r>
    </w:p>
    <w:p>
      <w:pPr>
        <w:spacing w:after="0" w:line="460" w:lineRule="exact"/>
        <w:ind w:left="839"/>
        <w:rPr>
          <w:rFonts w:ascii="仿宋" w:hAnsi="仿宋" w:eastAsia="仿宋"/>
          <w:sz w:val="24"/>
          <w:szCs w:val="24"/>
        </w:rPr>
      </w:pPr>
      <w:r>
        <w:rPr>
          <w:rFonts w:hint="eastAsia" w:ascii="仿宋" w:hAnsi="仿宋" w:eastAsia="仿宋"/>
          <w:sz w:val="24"/>
          <w:szCs w:val="24"/>
        </w:rPr>
        <w:t>报价响应文件递交地点：广州市增城区朱村街朱村大道东432号</w:t>
      </w:r>
      <w:r>
        <w:rPr>
          <w:rFonts w:hint="eastAsia" w:ascii="仿宋" w:hAnsi="仿宋" w:eastAsia="仿宋"/>
          <w:sz w:val="24"/>
          <w:szCs w:val="24"/>
          <w:lang w:val="en-US" w:eastAsia="zh-CN"/>
        </w:rPr>
        <w:t>广州松田职业学院采购办公室。</w:t>
      </w:r>
    </w:p>
    <w:p>
      <w:pPr>
        <w:pStyle w:val="54"/>
        <w:spacing w:after="0" w:line="500" w:lineRule="exact"/>
        <w:ind w:left="839" w:firstLine="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吴谷芬</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18122166662。（进校须报备，请提前添加吴老师微信，账号与手机同号，</w:t>
      </w:r>
      <w:r>
        <w:rPr>
          <w:rFonts w:hint="eastAsia" w:ascii="仿宋" w:hAnsi="仿宋" w:eastAsia="仿宋"/>
          <w:b w:val="0"/>
          <w:bCs w:val="0"/>
          <w:color w:val="auto"/>
          <w:sz w:val="24"/>
          <w:szCs w:val="24"/>
        </w:rPr>
        <w:t>请备注公司名称+姓名+项目名称</w:t>
      </w:r>
      <w:r>
        <w:rPr>
          <w:rFonts w:hint="eastAsia" w:ascii="仿宋" w:hAnsi="仿宋" w:eastAsia="仿宋"/>
          <w:color w:val="auto"/>
          <w:sz w:val="24"/>
          <w:szCs w:val="24"/>
          <w:lang w:val="en-US" w:eastAsia="zh-CN"/>
        </w:rPr>
        <w:t>）</w:t>
      </w:r>
    </w:p>
    <w:p>
      <w:pPr>
        <w:widowControl w:val="0"/>
        <w:numPr>
          <w:ilvl w:val="1"/>
          <w:numId w:val="1"/>
        </w:numPr>
        <w:spacing w:after="0" w:line="440" w:lineRule="exact"/>
        <w:rPr>
          <w:rFonts w:ascii="仿宋" w:hAnsi="仿宋" w:eastAsia="仿宋"/>
          <w:sz w:val="24"/>
          <w:szCs w:val="24"/>
        </w:rPr>
      </w:pPr>
      <w:r>
        <w:rPr>
          <w:rFonts w:hint="eastAsia" w:ascii="仿宋" w:hAnsi="仿宋" w:eastAsia="仿宋"/>
          <w:sz w:val="24"/>
          <w:szCs w:val="24"/>
        </w:rPr>
        <w:t>本项目需参与人进行现场踏勘，参与人踏勘现场发生的费用自理，参与人自行负责在踏勘现场中所发生的人员伤亡和财产损失。未对现场踏勘的视为对现场充分了解，且对所投响应文件负责。</w:t>
      </w:r>
    </w:p>
    <w:p>
      <w:pPr>
        <w:widowControl w:val="0"/>
        <w:tabs>
          <w:tab w:val="left" w:pos="839"/>
        </w:tabs>
        <w:spacing w:after="0" w:line="440" w:lineRule="exact"/>
        <w:ind w:left="839"/>
        <w:rPr>
          <w:rFonts w:ascii="仿宋" w:hAnsi="仿宋" w:eastAsia="仿宋"/>
          <w:color w:val="auto"/>
          <w:sz w:val="24"/>
          <w:szCs w:val="24"/>
        </w:rPr>
      </w:pPr>
      <w:r>
        <w:rPr>
          <w:rFonts w:hint="eastAsia" w:ascii="仿宋" w:hAnsi="仿宋" w:eastAsia="仿宋"/>
          <w:color w:val="auto"/>
          <w:sz w:val="24"/>
          <w:szCs w:val="24"/>
        </w:rPr>
        <w:t>踏勘地点：</w:t>
      </w:r>
      <w:r>
        <w:rPr>
          <w:rFonts w:hint="eastAsia" w:ascii="仿宋" w:hAnsi="仿宋" w:eastAsia="仿宋"/>
          <w:sz w:val="24"/>
          <w:szCs w:val="24"/>
        </w:rPr>
        <w:t>广州市增城区朱村街朱村大道东432号</w:t>
      </w:r>
      <w:r>
        <w:rPr>
          <w:rFonts w:hint="eastAsia" w:ascii="仿宋" w:hAnsi="仿宋" w:eastAsia="仿宋"/>
          <w:sz w:val="24"/>
          <w:szCs w:val="24"/>
          <w:lang w:val="en-US" w:eastAsia="zh-CN"/>
        </w:rPr>
        <w:t>广州松田职业学院</w:t>
      </w:r>
      <w:r>
        <w:rPr>
          <w:rFonts w:hint="eastAsia" w:ascii="仿宋" w:hAnsi="仿宋" w:eastAsia="仿宋"/>
          <w:color w:val="auto"/>
          <w:sz w:val="24"/>
          <w:szCs w:val="24"/>
          <w:u w:val="none"/>
          <w:lang w:eastAsia="zh-CN"/>
        </w:rPr>
        <w:t>。</w:t>
      </w:r>
    </w:p>
    <w:p>
      <w:pPr>
        <w:spacing w:after="0" w:line="440" w:lineRule="exact"/>
        <w:ind w:left="839"/>
        <w:rPr>
          <w:rFonts w:hint="eastAsia" w:ascii="仿宋" w:hAnsi="仿宋" w:eastAsia="仿宋"/>
          <w:color w:val="auto"/>
          <w:sz w:val="24"/>
          <w:szCs w:val="24"/>
          <w:lang w:eastAsia="zh-CN"/>
        </w:rPr>
      </w:pPr>
      <w:r>
        <w:rPr>
          <w:rFonts w:hint="eastAsia" w:ascii="仿宋" w:hAnsi="仿宋" w:eastAsia="仿宋"/>
          <w:color w:val="auto"/>
          <w:sz w:val="24"/>
          <w:szCs w:val="24"/>
        </w:rPr>
        <w:t>探勘联系人：</w:t>
      </w:r>
      <w:r>
        <w:rPr>
          <w:rFonts w:hint="eastAsia" w:ascii="仿宋" w:hAnsi="仿宋" w:eastAsia="仿宋"/>
          <w:color w:val="auto"/>
          <w:sz w:val="24"/>
          <w:szCs w:val="24"/>
          <w:u w:val="none"/>
          <w:lang w:val="en-US" w:eastAsia="zh-CN"/>
        </w:rPr>
        <w:t>吴谷芬</w:t>
      </w:r>
      <w:r>
        <w:rPr>
          <w:rFonts w:hint="eastAsia" w:ascii="仿宋" w:hAnsi="仿宋" w:eastAsia="仿宋"/>
          <w:color w:val="auto"/>
          <w:sz w:val="24"/>
          <w:szCs w:val="24"/>
          <w:u w:val="none"/>
        </w:rPr>
        <w:t>，电话：</w:t>
      </w:r>
      <w:r>
        <w:rPr>
          <w:rFonts w:hint="eastAsia" w:ascii="仿宋" w:hAnsi="仿宋" w:eastAsia="仿宋"/>
          <w:color w:val="auto"/>
          <w:sz w:val="24"/>
          <w:szCs w:val="24"/>
          <w:u w:val="none"/>
          <w:lang w:val="en-US" w:eastAsia="zh-CN"/>
        </w:rPr>
        <w:t>18122166662</w:t>
      </w:r>
      <w:r>
        <w:rPr>
          <w:rFonts w:hint="eastAsia" w:ascii="仿宋" w:hAnsi="仿宋" w:eastAsia="仿宋"/>
          <w:color w:val="auto"/>
          <w:sz w:val="24"/>
          <w:szCs w:val="24"/>
          <w:u w:val="none"/>
          <w:lang w:eastAsia="zh-CN"/>
        </w:rPr>
        <w:t>。</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，请在报价响应文件递交截止之日前，将问题以书面形式（有效签署的原件并加盖公章）提交至学校业务对接人，联系人：</w:t>
      </w:r>
      <w:r>
        <w:rPr>
          <w:rFonts w:hint="eastAsia" w:ascii="仿宋" w:hAnsi="仿宋" w:eastAsia="仿宋"/>
          <w:color w:val="auto"/>
          <w:sz w:val="24"/>
          <w:szCs w:val="24"/>
          <w:lang w:val="en-US" w:eastAsia="zh-CN"/>
        </w:rPr>
        <w:t>吴谷芬</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18122166662</w:t>
      </w:r>
      <w:r>
        <w:rPr>
          <w:rFonts w:hint="eastAsia" w:ascii="仿宋" w:hAnsi="仿宋" w:eastAsia="仿宋"/>
          <w:color w:val="auto"/>
          <w:sz w:val="24"/>
          <w:szCs w:val="24"/>
        </w:rPr>
        <w:t>。采购人不对超时提交及未加盖公章的质疑文件进行回复。</w:t>
      </w:r>
    </w:p>
    <w:p>
      <w:pPr>
        <w:widowControl w:val="0"/>
        <w:numPr>
          <w:ilvl w:val="1"/>
          <w:numId w:val="1"/>
        </w:numPr>
        <w:spacing w:after="0" w:line="460" w:lineRule="exact"/>
        <w:rPr>
          <w:rFonts w:ascii="仿宋" w:hAnsi="仿宋" w:eastAsia="仿宋"/>
          <w:color w:val="auto"/>
          <w:sz w:val="24"/>
          <w:szCs w:val="24"/>
        </w:rPr>
      </w:pPr>
      <w:bookmarkStart w:id="46" w:name="_Hlk97917519"/>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7"/>
          <w:rFonts w:hint="eastAsia" w:ascii="仿宋" w:hAnsi="仿宋" w:eastAsia="仿宋"/>
          <w:color w:val="auto"/>
          <w:sz w:val="24"/>
          <w:szCs w:val="24"/>
        </w:rPr>
        <w:t>www.ceghqxz.com</w:t>
      </w:r>
      <w:r>
        <w:rPr>
          <w:rStyle w:val="27"/>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46"/>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hint="eastAsia" w:ascii="仿宋" w:hAnsi="仿宋" w:eastAsia="仿宋"/>
          <w:sz w:val="24"/>
          <w:szCs w:val="24"/>
        </w:rPr>
      </w:pPr>
      <w:r>
        <w:rPr>
          <w:rFonts w:hint="eastAsia" w:ascii="仿宋" w:hAnsi="仿宋" w:eastAsia="仿宋"/>
          <w:sz w:val="24"/>
          <w:szCs w:val="24"/>
        </w:rPr>
        <w:t>一个参与人只能提交一个报价响应文件，</w:t>
      </w:r>
      <w:r>
        <w:rPr>
          <w:rFonts w:hint="eastAsia" w:ascii="仿宋" w:hAnsi="仿宋" w:eastAsia="仿宋"/>
          <w:sz w:val="24"/>
          <w:szCs w:val="24"/>
          <w:lang w:val="en-US" w:eastAsia="zh-CN"/>
        </w:rPr>
        <w:t>报价须分</w:t>
      </w:r>
      <w:r>
        <w:rPr>
          <w:rFonts w:hint="eastAsia" w:ascii="仿宋" w:hAnsi="仿宋" w:eastAsia="仿宋"/>
          <w:sz w:val="24"/>
          <w:szCs w:val="24"/>
        </w:rPr>
        <w:t>商务部分以及技术部分</w:t>
      </w:r>
      <w:r>
        <w:rPr>
          <w:rFonts w:hint="eastAsia" w:ascii="仿宋" w:hAnsi="仿宋" w:eastAsia="仿宋"/>
          <w:sz w:val="24"/>
          <w:szCs w:val="24"/>
          <w:lang w:val="en-US" w:eastAsia="zh-CN"/>
        </w:rPr>
        <w:t>两个文件</w:t>
      </w:r>
      <w:r>
        <w:rPr>
          <w:rFonts w:hint="eastAsia" w:ascii="仿宋" w:hAnsi="仿宋" w:eastAsia="仿宋"/>
          <w:sz w:val="24"/>
          <w:szCs w:val="24"/>
        </w:rPr>
        <w:t>并且独立密封</w:t>
      </w:r>
      <w:r>
        <w:rPr>
          <w:rFonts w:hint="eastAsia" w:ascii="仿宋" w:hAnsi="仿宋" w:eastAsia="仿宋"/>
          <w:sz w:val="24"/>
          <w:szCs w:val="24"/>
          <w:lang w:eastAsia="zh-CN"/>
        </w:rPr>
        <w:t>（</w:t>
      </w:r>
      <w:r>
        <w:rPr>
          <w:rFonts w:hint="eastAsia" w:ascii="仿宋" w:hAnsi="仿宋" w:eastAsia="仿宋"/>
          <w:sz w:val="24"/>
          <w:szCs w:val="24"/>
          <w:lang w:val="en-US" w:eastAsia="zh-CN"/>
        </w:rPr>
        <w:t>技术部分不体现价格</w:t>
      </w:r>
      <w:r>
        <w:rPr>
          <w:rFonts w:hint="eastAsia" w:ascii="仿宋" w:hAnsi="仿宋" w:eastAsia="仿宋"/>
          <w:sz w:val="24"/>
          <w:szCs w:val="24"/>
          <w:lang w:eastAsia="zh-CN"/>
        </w:rPr>
        <w:t>）</w:t>
      </w:r>
      <w:r>
        <w:rPr>
          <w:rFonts w:hint="eastAsia" w:ascii="仿宋" w:hAnsi="仿宋" w:eastAsia="仿宋"/>
          <w:sz w:val="24"/>
          <w:szCs w:val="24"/>
        </w:rPr>
        <w:t>，</w:t>
      </w:r>
      <w:r>
        <w:rPr>
          <w:rFonts w:hint="eastAsia" w:ascii="仿宋" w:hAnsi="仿宋" w:eastAsia="仿宋"/>
          <w:sz w:val="24"/>
          <w:szCs w:val="24"/>
          <w:lang w:val="en-US" w:eastAsia="zh-CN"/>
        </w:rPr>
        <w:t>商务及技术分别</w:t>
      </w:r>
      <w:r>
        <w:rPr>
          <w:rFonts w:hint="eastAsia" w:ascii="仿宋" w:hAnsi="仿宋" w:eastAsia="仿宋"/>
          <w:sz w:val="24"/>
          <w:szCs w:val="24"/>
        </w:rPr>
        <w:t>提供正本：一份，副本：二份，</w:t>
      </w:r>
      <w:r>
        <w:rPr>
          <w:rFonts w:hint="eastAsia" w:ascii="仿宋" w:hAnsi="仿宋" w:eastAsia="仿宋"/>
          <w:sz w:val="24"/>
          <w:szCs w:val="24"/>
          <w:lang w:val="en-US" w:eastAsia="zh-CN"/>
        </w:rPr>
        <w:t>共6份，</w:t>
      </w:r>
      <w:r>
        <w:rPr>
          <w:rFonts w:hint="eastAsia" w:ascii="仿宋" w:hAnsi="仿宋" w:eastAsia="仿宋"/>
          <w:sz w:val="24"/>
          <w:szCs w:val="24"/>
        </w:rPr>
        <w:t>文件必须用A4幅面纸张打印，应编制封面、目录、页码，必须用线装或胶装（为永久性、无破坏不可拆分）装订成册，在相应位置加盖公章，副本内容可以用正本的完整复印件。响应文件封面应标明“正本”、“副本”字样。正本与副本如有不一致，则以正本为准。本项目不接受联合体报价</w:t>
      </w:r>
      <w:r>
        <w:rPr>
          <w:rFonts w:hint="eastAsia" w:ascii="仿宋" w:hAnsi="仿宋" w:eastAsia="仿宋"/>
          <w:sz w:val="24"/>
          <w:szCs w:val="24"/>
          <w:lang w:eastAsia="zh-CN"/>
        </w:rPr>
        <w:t>。</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4"/>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免费保修期:</w:t>
      </w:r>
      <w:r>
        <w:rPr>
          <w:rFonts w:hint="eastAsia" w:ascii="仿宋" w:hAnsi="仿宋" w:eastAsia="仿宋" w:cstheme="minorBidi"/>
          <w:sz w:val="24"/>
          <w:szCs w:val="24"/>
          <w:lang w:val="en-US" w:eastAsia="zh-CN" w:bidi="ar-SA"/>
        </w:rPr>
        <w:t>3年</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培训计划及人员安排：</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主要零配件及易耗品价格：</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制造商的技术支持。</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4"/>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4"/>
        <w:spacing w:after="0" w:line="500" w:lineRule="exact"/>
        <w:ind w:left="7371" w:firstLine="0" w:firstLineChars="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广州松田职业学院</w:t>
      </w:r>
    </w:p>
    <w:p>
      <w:pPr>
        <w:pStyle w:val="54"/>
        <w:spacing w:after="0" w:line="500" w:lineRule="exact"/>
        <w:ind w:left="7371" w:firstLine="0" w:firstLineChars="0"/>
        <w:jc w:val="left"/>
        <w:rPr>
          <w:rFonts w:hint="eastAsia" w:ascii="仿宋" w:hAnsi="仿宋" w:eastAsia="仿宋"/>
          <w:color w:val="auto"/>
          <w:sz w:val="24"/>
          <w:szCs w:val="24"/>
        </w:rPr>
      </w:pPr>
      <w:r>
        <w:rPr>
          <w:rFonts w:hint="eastAsia" w:ascii="仿宋" w:hAnsi="仿宋" w:eastAsia="仿宋"/>
          <w:color w:val="auto"/>
          <w:sz w:val="24"/>
          <w:szCs w:val="24"/>
          <w:lang w:val="en-US" w:eastAsia="zh-CN"/>
        </w:rPr>
        <w:t>2022</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07</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29</w:t>
      </w:r>
      <w:r>
        <w:rPr>
          <w:rFonts w:hint="eastAsia" w:ascii="仿宋" w:hAnsi="仿宋" w:eastAsia="仿宋"/>
          <w:color w:val="auto"/>
          <w:sz w:val="24"/>
          <w:szCs w:val="24"/>
        </w:rPr>
        <w:t>日</w:t>
      </w:r>
    </w:p>
    <w:p>
      <w:pPr>
        <w:pStyle w:val="54"/>
        <w:spacing w:after="0" w:line="500" w:lineRule="exact"/>
        <w:ind w:left="0" w:leftChars="0" w:firstLine="0" w:firstLineChars="0"/>
        <w:jc w:val="center"/>
        <w:rPr>
          <w:rFonts w:ascii="仿宋" w:hAnsi="仿宋" w:eastAsia="仿宋"/>
          <w:sz w:val="24"/>
          <w:szCs w:val="24"/>
        </w:rPr>
      </w:pPr>
      <w:r>
        <w:rPr>
          <w:rFonts w:ascii="仿宋" w:hAnsi="仿宋" w:eastAsia="仿宋"/>
          <w:color w:val="FF0000"/>
          <w:sz w:val="28"/>
          <w:szCs w:val="28"/>
        </w:rPr>
        <w:br w:type="page"/>
      </w:r>
      <w:r>
        <w:rPr>
          <w:rFonts w:hint="eastAsia" w:ascii="仿宋" w:hAnsi="仿宋" w:eastAsia="仿宋"/>
          <w:b/>
          <w:color w:val="auto"/>
          <w:sz w:val="44"/>
          <w:szCs w:val="44"/>
        </w:rPr>
        <w:t>公开询价货物一览表</w:t>
      </w:r>
      <w:bookmarkEnd w:id="45"/>
    </w:p>
    <w:tbl>
      <w:tblPr>
        <w:tblStyle w:val="23"/>
        <w:tblW w:w="5267" w:type="pct"/>
        <w:tblInd w:w="-278" w:type="dxa"/>
        <w:tblLayout w:type="fixed"/>
        <w:tblCellMar>
          <w:top w:w="0" w:type="dxa"/>
          <w:left w:w="108" w:type="dxa"/>
          <w:bottom w:w="0" w:type="dxa"/>
          <w:right w:w="108" w:type="dxa"/>
        </w:tblCellMar>
      </w:tblPr>
      <w:tblGrid>
        <w:gridCol w:w="569"/>
        <w:gridCol w:w="1560"/>
        <w:gridCol w:w="5102"/>
        <w:gridCol w:w="539"/>
        <w:gridCol w:w="434"/>
        <w:gridCol w:w="796"/>
        <w:gridCol w:w="841"/>
        <w:gridCol w:w="689"/>
      </w:tblGrid>
      <w:tr>
        <w:tblPrEx>
          <w:tblCellMar>
            <w:top w:w="0" w:type="dxa"/>
            <w:left w:w="108" w:type="dxa"/>
            <w:bottom w:w="0" w:type="dxa"/>
            <w:right w:w="108" w:type="dxa"/>
          </w:tblCellMar>
        </w:tblPrEx>
        <w:trPr>
          <w:trHeight w:val="492" w:hRule="atLeast"/>
        </w:trPr>
        <w:tc>
          <w:tcPr>
            <w:tcW w:w="5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序号</w:t>
            </w:r>
          </w:p>
        </w:tc>
        <w:tc>
          <w:tcPr>
            <w:tcW w:w="16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设备名称</w:t>
            </w:r>
          </w:p>
        </w:tc>
        <w:tc>
          <w:tcPr>
            <w:tcW w:w="52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bookmarkStart w:id="47" w:name="_Hlk78721021"/>
            <w:r>
              <w:rPr>
                <w:rFonts w:hint="eastAsia" w:ascii="仿宋" w:hAnsi="仿宋" w:eastAsia="仿宋" w:cs="仿宋"/>
                <w:b/>
                <w:bCs/>
                <w:color w:val="000000"/>
                <w:sz w:val="21"/>
                <w:szCs w:val="21"/>
              </w:rPr>
              <w:t>规格型号（技术参数）</w:t>
            </w:r>
            <w:bookmarkEnd w:id="47"/>
          </w:p>
        </w:tc>
        <w:tc>
          <w:tcPr>
            <w:tcW w:w="5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单位</w:t>
            </w:r>
          </w:p>
        </w:tc>
        <w:tc>
          <w:tcPr>
            <w:tcW w:w="4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数量</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单价（元）</w:t>
            </w:r>
          </w:p>
        </w:tc>
        <w:tc>
          <w:tcPr>
            <w:tcW w:w="8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总价（元）</w:t>
            </w: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备注</w:t>
            </w:r>
          </w:p>
        </w:tc>
      </w:tr>
      <w:tr>
        <w:tblPrEx>
          <w:tblCellMar>
            <w:top w:w="0" w:type="dxa"/>
            <w:left w:w="108" w:type="dxa"/>
            <w:bottom w:w="0" w:type="dxa"/>
            <w:right w:w="108" w:type="dxa"/>
          </w:tblCellMar>
        </w:tblPrEx>
        <w:trPr>
          <w:trHeight w:val="794" w:hRule="atLeast"/>
        </w:trPr>
        <w:tc>
          <w:tcPr>
            <w:tcW w:w="591"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sz w:val="21"/>
                <w:szCs w:val="21"/>
                <w:lang w:val="en-US" w:eastAsia="zh-CN"/>
              </w:rPr>
              <w:t>1</w:t>
            </w:r>
          </w:p>
        </w:tc>
        <w:tc>
          <w:tcPr>
            <w:tcW w:w="16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数字音频控制器</w:t>
            </w:r>
          </w:p>
        </w:tc>
        <w:tc>
          <w:tcPr>
            <w:tcW w:w="529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主机预装节能专用芯片，可动态调整电压及有效节能的电压控制装置。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采用双路双频设计可通过网络交换机网络IP或USB与计算机IP直连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2、系统连接采用水晶头以太网线并行连接，可同时对链接终端进行管理控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制，音频控制器与千兆交换机相连可以任意拓展学生终端数量不受数量限制。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3、不受计算机系统限制全面支持Windows系列操作系统，支持传统BIOS主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板及UEFI主板。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4、终端故障提示功能：若终端有硬件故障或线路故障，系统自动提示发生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故障的位置。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5.满载情况下，功耗仅为\100瓦；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6.尺寸规格：约320mm#170mm#200mm </w:t>
            </w:r>
          </w:p>
          <w:p>
            <w:pPr>
              <w:keepNext w:val="0"/>
              <w:keepLines w:val="0"/>
              <w:pageBreakBefore w:val="0"/>
              <w:widowControl/>
              <w:numPr>
                <w:ilvl w:val="0"/>
                <w:numId w:val="6"/>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7.具备Broadcom 5720双端口千兆网卡、接口。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7.电源为≥550W；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8.芯片组为英特尔Intel C204 Chipset系列芯片组</w:t>
            </w:r>
          </w:p>
        </w:tc>
        <w:tc>
          <w:tcPr>
            <w:tcW w:w="5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45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591"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sz w:val="21"/>
                <w:szCs w:val="21"/>
                <w:lang w:val="en-US" w:eastAsia="zh-CN"/>
              </w:rPr>
              <w:t>2</w:t>
            </w:r>
          </w:p>
        </w:tc>
        <w:tc>
          <w:tcPr>
            <w:tcW w:w="16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音频交互控制平台</w:t>
            </w:r>
          </w:p>
        </w:tc>
        <w:tc>
          <w:tcPr>
            <w:tcW w:w="529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i w:val="0"/>
                <w:iCs w:val="0"/>
                <w:color w:val="FF0000"/>
                <w:kern w:val="0"/>
                <w:sz w:val="21"/>
                <w:szCs w:val="21"/>
                <w:u w:val="none"/>
                <w:lang w:val="en-US" w:eastAsia="zh-CN" w:bidi="ar"/>
              </w:rPr>
              <w:t xml:space="preserve"> </w:t>
            </w:r>
            <w:r>
              <w:rPr>
                <w:rFonts w:hint="eastAsia" w:ascii="仿宋" w:hAnsi="仿宋" w:eastAsia="仿宋" w:cs="仿宋"/>
                <w:i w:val="0"/>
                <w:iCs w:val="0"/>
                <w:color w:val="000000"/>
                <w:kern w:val="0"/>
                <w:sz w:val="21"/>
                <w:szCs w:val="21"/>
                <w:u w:val="none"/>
                <w:lang w:val="en-US" w:eastAsia="zh-CN" w:bidi="ar"/>
              </w:rPr>
              <w:t xml:space="preserve">2.软件具有教学模式控制，呼叫应答，广播，录音，教室编辑，名单管理，音频控制等诸多功能，内置双通道数字调音台；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3.授课（分组授课）功能：屏蔽学生琴信号、示范、通话、录音，教师可一对广授课，并可实现小组示范、录音等功能；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4.自习（分组自习）功能：监听、通话、录音，教师可一对一授课，并可实现小组授课，小班管理等功能；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5.编辑教室：可任意编辑学生姓名导入、导出，各个班级学生名单独立存储.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6.软件布局；模块布局变换调整、设任意模块为教师； </w:t>
            </w:r>
          </w:p>
        </w:tc>
        <w:tc>
          <w:tcPr>
            <w:tcW w:w="5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45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591"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6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系统专用服务器</w:t>
            </w:r>
          </w:p>
        </w:tc>
        <w:tc>
          <w:tcPr>
            <w:tcW w:w="529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专用服务器主芯片与数字音频控制器芯片信息匹配为主准；服务器自带一键还原、系统初始化功能，内置教学系统软件安装包、原始数据信息、教学资源、视频操作文件等。与系统统一质保。</w:t>
            </w:r>
          </w:p>
        </w:tc>
        <w:tc>
          <w:tcPr>
            <w:tcW w:w="5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45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8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591"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6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教师琴</w:t>
            </w:r>
          </w:p>
        </w:tc>
        <w:tc>
          <w:tcPr>
            <w:tcW w:w="529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auto"/>
                <w:kern w:val="0"/>
                <w:sz w:val="21"/>
                <w:szCs w:val="21"/>
                <w:u w:val="none"/>
                <w:lang w:val="en-US" w:eastAsia="zh-CN" w:bidi="ar"/>
              </w:rPr>
              <w:t xml:space="preserve">1、键盘：88键 (PHA-4 Standard键盘: 带擒纵结构及象牙质感) </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2、力度感应：键感: 5种, 固定键感 </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3、最大复音数：128 </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4、音色：15种 </w:t>
            </w:r>
            <w:r>
              <w:rPr>
                <w:rFonts w:hint="eastAsia" w:ascii="仿宋" w:hAnsi="仿宋" w:eastAsia="仿宋" w:cs="仿宋"/>
                <w:i w:val="0"/>
                <w:iCs w:val="0"/>
                <w:color w:val="FF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5、节拍器：拍号：2/2, 0/4, 2/4, 3/4, 4/4, 5/4, 6/4, 7/4, 3/8, 6/8, 9/8, 12/8，Quarter note = 10–500 (当节奏功能打开时: 四分音符 = 20–250)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6、移调：触键变调：-6至+5 (以半音程为单位)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7、微调：415.3-466.2 Hz （可以0.1Hz的增量调节）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8、输入/输出端口：DC IN 接口，USB Memory 接口: USB A型，USB Computer 接口: USB B型，Phones接口（同时作为输出接口）x 2: 立体声迷你耳机型, 立体声1/4英寸耳机型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9、踏板：延音 (踏板开关，支持半踏功能)、弱音 (踏板开关)、持续音 (踏板开关)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10、扬声器：12 cm x 2  6W x 2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11、尺寸：1,379 x 413 x 977 mm（包含琴架及谱架）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12、其他功能：叠加音色、双钢琴、自动关机 </w:t>
            </w:r>
          </w:p>
        </w:tc>
        <w:tc>
          <w:tcPr>
            <w:tcW w:w="5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45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8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591"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6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转换器</w:t>
            </w:r>
          </w:p>
        </w:tc>
        <w:tc>
          <w:tcPr>
            <w:tcW w:w="529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 xml:space="preserve">1.尺寸规格（约）：（145mm*95mm*30mm）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2、自主知识产权的专用芯片；差动全数字信号，抗干扰力强；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3、改良过的教师终端音量比老款大幅提升，并且不会出现破音。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4、44.1K /16位双声道立体声CD音质；信噪比&gt;80dB；失真度&lt;1%；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5、终端延时：小于千分之一秒，绝无延迟感觉；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6、终端功能：音量调节，呼叫开关，麦克风开关，状态指示；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7、端接口：两组麦克风、电子琴、耳机接口方便教师随意拓展新的方式；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8、终端连线：使用以太网线并行连接，安装简便、性能稳定。</w:t>
            </w:r>
          </w:p>
        </w:tc>
        <w:tc>
          <w:tcPr>
            <w:tcW w:w="5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45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8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591"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6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学生琴</w:t>
            </w:r>
          </w:p>
        </w:tc>
        <w:tc>
          <w:tcPr>
            <w:tcW w:w="529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 xml:space="preserve">1、键盘：88键（键盘:配备擒纵装置，象牙质感）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2、力度感应：键感: 3种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3、音源：Roland钢琴音色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4、最大复音数：128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5、音色：15种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6、数码音效：均衡:3 种，混响:关闭,4 种， 合唱:关闭,4 种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7、内置乐曲：16首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8、节拍器：拍子：0，2-6（速度范围：30-280）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9、移调：触键变调：-6--+5 (以半音程为单位)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10、微调：415.3–466.2 Hz (以0.1 Hz为调节单位)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11、输入/输出端口：DC IN 接口、Input Stereo 接口：1/4英寸耳机型、Output (L/Mono, R) 接口： 1/4英寸耳机型、USB Computer 端口： USB B 型、Phones 接口x 2: 立体声耳机型, 立体声1/4英寸耳机型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12、踏板：延音踏板 、弱音踏板 、持续音踏板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13、扬声器：约15 cm x 2      约10W x 2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14、尺寸：约1,380 x 485 x 1000 mm（包含琴架及谱架） </w:t>
            </w:r>
          </w:p>
        </w:tc>
        <w:tc>
          <w:tcPr>
            <w:tcW w:w="5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45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30</w:t>
            </w:r>
          </w:p>
        </w:tc>
        <w:tc>
          <w:tcPr>
            <w:tcW w:w="8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591"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6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终端</w:t>
            </w:r>
          </w:p>
        </w:tc>
        <w:tc>
          <w:tcPr>
            <w:tcW w:w="529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 xml:space="preserve">1、尺寸规格（约）：（120mm*90mm*30mm）；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2、自主知识产权的专用芯片；差动全数字信号抗干扰力强。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3、44.1K /16位双声道立体声CD音质；信噪比L&gt;80dB；失真度&lt;1%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4、终端延时：小于千分之一秒，绝无延迟感觉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5、终端功能：音量调节，呼叫开关，麦克风开关，状态指示；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6、终端接口：一组麦克风、电钢琴、耳机接口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7、终端连线：使用以太网线并行连接，安装简便、性能稳定。</w:t>
            </w:r>
          </w:p>
        </w:tc>
        <w:tc>
          <w:tcPr>
            <w:tcW w:w="5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45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30</w:t>
            </w:r>
          </w:p>
        </w:tc>
        <w:tc>
          <w:tcPr>
            <w:tcW w:w="8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591"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6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耳机</w:t>
            </w:r>
          </w:p>
        </w:tc>
        <w:tc>
          <w:tcPr>
            <w:tcW w:w="529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 xml:space="preserve">磁铁型：钕制隔音膜：Mylar聚酯锥形 音圈：铜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频率响应：约20-20000HZ 阻抗：32欧姆 灵敏度：98DB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杨声器直径：40毫米 连接：线览 接口；3.5 。线缆长度：约2米接头末端：</w:t>
            </w:r>
          </w:p>
        </w:tc>
        <w:tc>
          <w:tcPr>
            <w:tcW w:w="5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45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30</w:t>
            </w:r>
          </w:p>
        </w:tc>
        <w:tc>
          <w:tcPr>
            <w:tcW w:w="8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591"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6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多媒体操作台</w:t>
            </w:r>
          </w:p>
        </w:tc>
        <w:tc>
          <w:tcPr>
            <w:tcW w:w="529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auto"/>
                <w:kern w:val="0"/>
                <w:sz w:val="21"/>
                <w:szCs w:val="21"/>
                <w:u w:val="none"/>
                <w:lang w:val="en-US" w:eastAsia="zh-CN" w:bidi="ar"/>
              </w:rPr>
              <w:t>SPCC优质钢板喷塑防锈处理，防护等级IP20防盗安全设置，钢木结合一体成型，桌面预留集成接口模块。用于放置控制系统主机等设备。</w:t>
            </w:r>
          </w:p>
        </w:tc>
        <w:tc>
          <w:tcPr>
            <w:tcW w:w="5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45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8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591"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16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智能用电控制主机</w:t>
            </w:r>
          </w:p>
        </w:tc>
        <w:tc>
          <w:tcPr>
            <w:tcW w:w="529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额定输入电压90-240V 可控电源12路 延时0-999S 供电电源；AC220V 50/60Hz 30A 显示；当前电压、日期、时间、工作状态。单路额定电压13A 智能漏电防护、过载防护、室内温度预警防护。</w:t>
            </w:r>
          </w:p>
        </w:tc>
        <w:tc>
          <w:tcPr>
            <w:tcW w:w="5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45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8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591"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16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指法采集器</w:t>
            </w:r>
          </w:p>
        </w:tc>
        <w:tc>
          <w:tcPr>
            <w:tcW w:w="529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numPr>
                <w:ilvl w:val="0"/>
                <w:numId w:val="7"/>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要求产品稳定性高，能保证连续3万小时无故障运行；</w:t>
            </w:r>
          </w:p>
          <w:p>
            <w:pPr>
              <w:keepNext w:val="0"/>
              <w:keepLines w:val="0"/>
              <w:pageBreakBefore w:val="0"/>
              <w:widowControl/>
              <w:numPr>
                <w:ilvl w:val="0"/>
                <w:numId w:val="7"/>
              </w:numPr>
              <w:suppressLineNumbers w:val="0"/>
              <w:kinsoku/>
              <w:wordWrap/>
              <w:overflowPunct/>
              <w:topLinePunct w:val="0"/>
              <w:autoSpaceDE/>
              <w:autoSpaceDN/>
              <w:bidi w:val="0"/>
              <w:adjustRightInd/>
              <w:snapToGrid w:val="0"/>
              <w:spacing w:after="0"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水平转动速度:0 ~20 /S，上下转动速度:0 ~12 /S；3、64个预置位；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4、2条巡航轨迹；</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ind w:leftChars="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5、采集镜头需要达到30倍变焦，变焦速度快，最高可达2S。</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ind w:left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6、水平解析度需要≥700TVL</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ind w:left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7、需提供数字接口</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ind w:left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8、支持中/英文OSD-L显示，色彩饱和度、清晰度可调；</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ind w:leftChars="0"/>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9、标准接口，兼容通用协议，便于二次开发；</w:t>
            </w:r>
          </w:p>
        </w:tc>
        <w:tc>
          <w:tcPr>
            <w:tcW w:w="5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45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8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591"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16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信号接收器</w:t>
            </w:r>
          </w:p>
        </w:tc>
        <w:tc>
          <w:tcPr>
            <w:tcW w:w="529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支持DDNS,支持VGA/CVBS输出,所有通道WD1分辨率(960#576)编码</w:t>
            </w:r>
          </w:p>
        </w:tc>
        <w:tc>
          <w:tcPr>
            <w:tcW w:w="5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45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8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591"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16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无线麦克风</w:t>
            </w:r>
          </w:p>
        </w:tc>
        <w:tc>
          <w:tcPr>
            <w:tcW w:w="529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手持红外线话筒，配接收器</w:t>
            </w:r>
          </w:p>
        </w:tc>
        <w:tc>
          <w:tcPr>
            <w:tcW w:w="5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45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8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3298" w:hRule="atLeast"/>
        </w:trPr>
        <w:tc>
          <w:tcPr>
            <w:tcW w:w="591"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16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功放</w:t>
            </w:r>
          </w:p>
        </w:tc>
        <w:tc>
          <w:tcPr>
            <w:tcW w:w="529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1、拥有四组输出接口，可连接4只4-8Ω音箱；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2、双声道信号指示灯；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3、RS232控制接口（定制功能)；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4、带数码显视屏；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5、三路音源输入，带输入选择切换开关；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6、四路话筒插口（环保麦克风插口自带DC+6V电源）；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7、采用双声道高保真全分离件、全频带功率放大系统；可实现话筒音量、高低音独立控制及混响调节,线路可进行音量及高低音独立调节；能有效的抑制声反馈，克服“啸叫”；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8、机架式机箱,主要功能键采用暗藏式设计、有效避免产生误操作，能有效延长扩音系统的使用寿命；</w:t>
            </w:r>
          </w:p>
        </w:tc>
        <w:tc>
          <w:tcPr>
            <w:tcW w:w="5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45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8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591"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16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音箱</w:t>
            </w:r>
          </w:p>
        </w:tc>
        <w:tc>
          <w:tcPr>
            <w:tcW w:w="529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1、额定功率：约120W；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2、输入功率：约360W；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3、额定阻抗：约8Ω；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4、频率响应：约50Hz-20KHz；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5、驱动器：约1个10寸长冲程低音驱动器、约2个3寸前纸盆高音；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6、灵敏度：约93dB/1W/1M；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7、声压级：约119dB；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8、分频器：约1.8KHz；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9、指向性覆盖角：约140°（H）x100°（V）；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10、连接器：正负极接线夹；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11、箱体型式：倒相式；</w:t>
            </w:r>
          </w:p>
        </w:tc>
        <w:tc>
          <w:tcPr>
            <w:tcW w:w="5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45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8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591"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16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数字音频控制器</w:t>
            </w:r>
          </w:p>
        </w:tc>
        <w:tc>
          <w:tcPr>
            <w:tcW w:w="529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主机预装节能专用芯片，可动态调整电压及有效节能的电压控制装置。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采用双路双频设计可通过网络交换机网络IP或USB与计算机IP直连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2、系统连接采用水晶头以太网线并行连接，可同时对链接终端进行管理控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制，音频控制器与千兆交换机相连可以任意拓展学生终端数量不受数量限制。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3、不受计算机系统限制全面支持Windows系列操作系统，支持传统BIOS主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板及UEFI主板。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4、终端故障提示功能：若终端有硬件故障或线路故障，系统自动提示发生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故障的位置。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5.满载情况下，功耗仅为\100瓦；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6.尺寸规格：约320mm#170mm#200mm</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7.具备Broadcom 5720双端口千兆网卡、接口。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8.电源为≥550W；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9.芯片组为英特尔Intel C204 Chipset系列芯片组</w:t>
            </w:r>
          </w:p>
        </w:tc>
        <w:tc>
          <w:tcPr>
            <w:tcW w:w="5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45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8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591"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16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音频交互控制平台</w:t>
            </w:r>
          </w:p>
        </w:tc>
        <w:tc>
          <w:tcPr>
            <w:tcW w:w="529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1.软件具有教学模式控制，呼叫应答，广播，录音，教室编辑，名单管理，音频控制等诸多功能，内置双通道数字调音台；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2.授课（分组授课）功能：屏蔽学生琴信号、示范、通话、录音，教师可一对广授课，并可实现小组示范、录音等功能；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3.自习（分组自习）功能：监听、通话、录音，教师可一对一授课，并可实现小组授课，小班管理等功能；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4.编辑教室：可任意编辑学生姓名导入、导出，各个班级学生名单独立存储.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5.软件布局；模块布局变换调整、设任意模块为教师；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6、软件首次默认64个学生模块，可根据实际数量增加减成实际数量；</w:t>
            </w:r>
          </w:p>
        </w:tc>
        <w:tc>
          <w:tcPr>
            <w:tcW w:w="5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45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8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系统专用服务器</w:t>
            </w:r>
          </w:p>
        </w:tc>
        <w:tc>
          <w:tcPr>
            <w:tcW w:w="52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专用服务器</w:t>
            </w:r>
            <w:bookmarkStart w:id="180" w:name="_GoBack"/>
            <w:bookmarkEnd w:id="180"/>
            <w:r>
              <w:rPr>
                <w:rFonts w:hint="eastAsia" w:ascii="仿宋" w:hAnsi="仿宋" w:eastAsia="仿宋" w:cs="仿宋"/>
                <w:i w:val="0"/>
                <w:iCs w:val="0"/>
                <w:color w:val="000000"/>
                <w:kern w:val="0"/>
                <w:sz w:val="21"/>
                <w:szCs w:val="21"/>
                <w:u w:val="none"/>
                <w:lang w:val="en-US" w:eastAsia="zh-CN" w:bidi="ar"/>
              </w:rPr>
              <w:t>主芯片与数字音频控制器芯片信息匹配为主准；服务器自带一键还原、系统初始化功能，内置教学系统软件安装包、原始数据信息、教学资源、视频操作文件等。与系统统一质保。</w:t>
            </w:r>
          </w:p>
        </w:tc>
        <w:tc>
          <w:tcPr>
            <w:tcW w:w="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4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8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综合布线</w:t>
            </w:r>
          </w:p>
        </w:tc>
        <w:tc>
          <w:tcPr>
            <w:tcW w:w="52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31台钢琴，教师桌强弱电，网线</w:t>
            </w:r>
          </w:p>
          <w:p>
            <w:pPr>
              <w:keepNext w:val="0"/>
              <w:keepLines w:val="0"/>
              <w:pageBreakBefore w:val="0"/>
              <w:widowControl/>
              <w:numPr>
                <w:ilvl w:val="0"/>
                <w:numId w:val="9"/>
              </w:numPr>
              <w:suppressLineNumbers w:val="0"/>
              <w:kinsoku/>
              <w:wordWrap/>
              <w:overflowPunct/>
              <w:topLinePunct w:val="0"/>
              <w:autoSpaceDE/>
              <w:autoSpaceDN/>
              <w:bidi w:val="0"/>
              <w:adjustRightInd/>
              <w:snapToGrid w:val="0"/>
              <w:spacing w:after="0" w:line="240" w:lineRule="auto"/>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投影，幕布，音响，功放安装布线</w:t>
            </w:r>
          </w:p>
          <w:p>
            <w:pPr>
              <w:keepNext w:val="0"/>
              <w:keepLines w:val="0"/>
              <w:pageBreakBefore w:val="0"/>
              <w:widowControl/>
              <w:numPr>
                <w:ilvl w:val="0"/>
                <w:numId w:val="9"/>
              </w:numPr>
              <w:suppressLineNumbers w:val="0"/>
              <w:kinsoku/>
              <w:wordWrap/>
              <w:overflowPunct/>
              <w:topLinePunct w:val="0"/>
              <w:autoSpaceDE/>
              <w:autoSpaceDN/>
              <w:bidi w:val="0"/>
              <w:adjustRightInd/>
              <w:snapToGrid w:val="0"/>
              <w:spacing w:after="0" w:line="240" w:lineRule="auto"/>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各项设备安装</w:t>
            </w:r>
            <w:r>
              <w:rPr>
                <w:rFonts w:hint="eastAsia" w:ascii="仿宋" w:hAnsi="仿宋" w:eastAsia="仿宋" w:cs="仿宋"/>
                <w:b/>
                <w:bCs/>
                <w:i w:val="0"/>
                <w:iCs w:val="0"/>
                <w:color w:val="000000"/>
                <w:kern w:val="0"/>
                <w:sz w:val="21"/>
                <w:szCs w:val="21"/>
                <w:u w:val="none"/>
                <w:lang w:val="en-US" w:eastAsia="zh-CN" w:bidi="ar"/>
              </w:rPr>
              <w:t>（须出图纸）</w:t>
            </w:r>
          </w:p>
        </w:tc>
        <w:tc>
          <w:tcPr>
            <w:tcW w:w="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p>
        </w:tc>
        <w:tc>
          <w:tcPr>
            <w:tcW w:w="4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10"/>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10"/>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10"/>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spacing w:line="1000" w:lineRule="exact"/>
        <w:jc w:val="center"/>
        <w:rPr>
          <w:rFonts w:ascii="仿宋" w:hAnsi="仿宋" w:eastAsia="仿宋"/>
          <w:b/>
          <w:sz w:val="72"/>
          <w:szCs w:val="72"/>
        </w:rPr>
      </w:pPr>
    </w:p>
    <w:p>
      <w:pPr>
        <w:spacing w:line="1000" w:lineRule="exact"/>
        <w:jc w:val="center"/>
        <w:rPr>
          <w:rFonts w:hint="eastAsia" w:ascii="仿宋" w:hAnsi="仿宋" w:eastAsia="仿宋"/>
          <w:b/>
          <w:sz w:val="72"/>
          <w:szCs w:val="72"/>
          <w:lang w:eastAsia="zh-CN"/>
        </w:rPr>
      </w:pPr>
      <w:r>
        <w:rPr>
          <w:rFonts w:hint="eastAsia" w:ascii="仿宋" w:hAnsi="仿宋" w:eastAsia="仿宋"/>
          <w:b/>
          <w:sz w:val="72"/>
          <w:szCs w:val="72"/>
          <w:lang w:eastAsia="zh-CN"/>
        </w:rPr>
        <w:t>广州松田职业学院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FF0000"/>
          <w:sz w:val="44"/>
          <w:szCs w:val="44"/>
        </w:rPr>
        <w:t>X</w:t>
      </w:r>
      <w:r>
        <w:rPr>
          <w:rFonts w:ascii="仿宋" w:hAnsi="仿宋" w:eastAsia="仿宋"/>
          <w:b/>
          <w:color w:val="FF0000"/>
          <w:sz w:val="44"/>
          <w:szCs w:val="44"/>
        </w:rPr>
        <w:t>XX</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4"/>
          <w:szCs w:val="24"/>
        </w:rPr>
      </w:pPr>
      <w:bookmarkStart w:id="48" w:name="_Toc259520865"/>
      <w:bookmarkStart w:id="49" w:name="_Toc193165734"/>
      <w:bookmarkStart w:id="50" w:name="_Toc267059806"/>
      <w:bookmarkStart w:id="51" w:name="_Toc191803626"/>
      <w:bookmarkStart w:id="52" w:name="_Toc227058530"/>
      <w:bookmarkStart w:id="53" w:name="_Toc223146608"/>
      <w:bookmarkStart w:id="54" w:name="_Toc203355733"/>
      <w:bookmarkStart w:id="55" w:name="_Toc213756051"/>
      <w:bookmarkStart w:id="56" w:name="_Toc266870833"/>
      <w:bookmarkStart w:id="57" w:name="_Toc170798793"/>
      <w:bookmarkStart w:id="58" w:name="_Toc177985469"/>
      <w:bookmarkStart w:id="59" w:name="_Toc193160448"/>
      <w:bookmarkStart w:id="60" w:name="_Toc232302115"/>
      <w:bookmarkStart w:id="61" w:name="_Toc251586231"/>
      <w:bookmarkStart w:id="62" w:name="_Toc255975007"/>
      <w:bookmarkStart w:id="63" w:name="_Toc160880529"/>
      <w:bookmarkStart w:id="64" w:name="_Toc254790899"/>
      <w:bookmarkStart w:id="65" w:name="_Toc160880160"/>
      <w:bookmarkStart w:id="66" w:name="_Toc266870432"/>
      <w:bookmarkStart w:id="67" w:name="_Toc249325711"/>
      <w:bookmarkStart w:id="68" w:name="_Toc235438274"/>
      <w:bookmarkStart w:id="69" w:name="_Toc213208766"/>
      <w:bookmarkStart w:id="70" w:name="_Toc192663835"/>
      <w:bookmarkStart w:id="71" w:name="_Toc273178698"/>
      <w:bookmarkStart w:id="72" w:name="_Toc191802690"/>
      <w:bookmarkStart w:id="73" w:name="_Toc267060321"/>
      <w:bookmarkStart w:id="74" w:name="_Toc266868670"/>
      <w:bookmarkStart w:id="75" w:name="_Toc235437991"/>
      <w:bookmarkStart w:id="76" w:name="_Toc230071147"/>
      <w:bookmarkStart w:id="77" w:name="_Toc235438344"/>
      <w:bookmarkStart w:id="78" w:name="_Toc182372782"/>
      <w:bookmarkStart w:id="79" w:name="_Toc258401256"/>
      <w:bookmarkStart w:id="80" w:name="_Toc219800243"/>
      <w:bookmarkStart w:id="81" w:name="_Toc251613829"/>
      <w:bookmarkStart w:id="82" w:name="_Toc266868937"/>
      <w:bookmarkStart w:id="83" w:name="_Toc266870907"/>
      <w:bookmarkStart w:id="84" w:name="_Toc213755939"/>
      <w:bookmarkStart w:id="85" w:name="_Toc267059919"/>
      <w:bookmarkStart w:id="86" w:name="_Toc267059539"/>
      <w:bookmarkStart w:id="87" w:name="_Toc267059653"/>
      <w:bookmarkStart w:id="88" w:name="_Toc181436565"/>
      <w:bookmarkStart w:id="89" w:name="_Toc236021449"/>
      <w:bookmarkStart w:id="90" w:name="_Toc181436461"/>
      <w:bookmarkStart w:id="91" w:name="_Toc213755858"/>
      <w:bookmarkStart w:id="92" w:name="_Toc169332838"/>
      <w:bookmarkStart w:id="93" w:name="_Toc169332949"/>
      <w:bookmarkStart w:id="94" w:name="_Toc267060208"/>
      <w:bookmarkStart w:id="95" w:name="_Toc259692740"/>
      <w:bookmarkStart w:id="96" w:name="_Toc213755995"/>
      <w:bookmarkStart w:id="97" w:name="_Toc267059030"/>
      <w:bookmarkStart w:id="98" w:name="_Toc192996446"/>
      <w:bookmarkStart w:id="99" w:name="_Toc253066614"/>
      <w:bookmarkStart w:id="100" w:name="_Toc192663686"/>
      <w:bookmarkStart w:id="101" w:name="_Toc225669322"/>
      <w:bookmarkStart w:id="102" w:name="_Toc211917116"/>
      <w:bookmarkStart w:id="103" w:name="_Toc192996338"/>
      <w:bookmarkStart w:id="104" w:name="_Toc180302913"/>
      <w:bookmarkStart w:id="105" w:name="_Toc192664153"/>
      <w:bookmarkStart w:id="106" w:name="_Toc217891402"/>
      <w:bookmarkStart w:id="107" w:name="_Toc267060453"/>
      <w:bookmarkStart w:id="108" w:name="_Toc267060068"/>
      <w:bookmarkStart w:id="109" w:name="_Toc182805217"/>
      <w:bookmarkStart w:id="110" w:name="_Toc191789329"/>
      <w:bookmarkStart w:id="111" w:name="_Toc267059181"/>
      <w:bookmarkStart w:id="112" w:name="_Toc191783222"/>
      <w:bookmarkStart w:id="113" w:name="_Toc259692647"/>
    </w:p>
    <w:p>
      <w:pPr>
        <w:jc w:val="center"/>
        <w:outlineLvl w:val="1"/>
        <w:rPr>
          <w:rFonts w:hint="eastAsia" w:ascii="仿宋" w:hAnsi="仿宋" w:eastAsia="仿宋"/>
          <w:b/>
          <w:bCs/>
          <w:sz w:val="24"/>
          <w:szCs w:val="24"/>
        </w:rPr>
      </w:pPr>
    </w:p>
    <w:p>
      <w:pPr>
        <w:jc w:val="center"/>
        <w:outlineLvl w:val="1"/>
        <w:rPr>
          <w:rFonts w:ascii="仿宋" w:hAnsi="仿宋" w:eastAsia="仿宋"/>
          <w:b/>
          <w:bCs/>
          <w:sz w:val="24"/>
          <w:szCs w:val="24"/>
        </w:rPr>
      </w:pPr>
      <w:r>
        <w:rPr>
          <w:rFonts w:hint="eastAsia" w:ascii="仿宋" w:hAnsi="仿宋" w:eastAsia="仿宋"/>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sz w:val="24"/>
          <w:szCs w:val="24"/>
        </w:rPr>
        <w:t>询价响应函</w:t>
      </w:r>
    </w:p>
    <w:p>
      <w:pPr>
        <w:spacing w:after="0" w:line="480" w:lineRule="exact"/>
        <w:rPr>
          <w:rFonts w:hint="eastAsia" w:ascii="仿宋" w:hAnsi="仿宋" w:eastAsia="仿宋"/>
          <w:sz w:val="24"/>
          <w:szCs w:val="24"/>
          <w:lang w:eastAsia="zh-CN"/>
        </w:rPr>
      </w:pPr>
      <w:r>
        <w:rPr>
          <w:rFonts w:hint="eastAsia" w:ascii="仿宋" w:hAnsi="仿宋" w:eastAsia="仿宋"/>
          <w:sz w:val="24"/>
          <w:szCs w:val="24"/>
        </w:rPr>
        <w:t>致：</w:t>
      </w:r>
      <w:r>
        <w:rPr>
          <w:rFonts w:hint="eastAsia" w:ascii="仿宋" w:hAnsi="仿宋" w:eastAsia="仿宋"/>
          <w:color w:val="auto"/>
          <w:sz w:val="24"/>
          <w:szCs w:val="24"/>
          <w:lang w:eastAsia="zh-CN"/>
        </w:rPr>
        <w:t>广州松田职业学院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6"/>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jc w:val="center"/>
        <w:outlineLvl w:val="1"/>
        <w:rPr>
          <w:rFonts w:ascii="仿宋" w:hAnsi="仿宋" w:eastAsia="仿宋"/>
          <w:b/>
          <w:bCs/>
          <w:color w:val="FF0000"/>
          <w:sz w:val="24"/>
          <w:szCs w:val="24"/>
        </w:rPr>
      </w:pPr>
      <w:r>
        <w:rPr>
          <w:rFonts w:hint="eastAsia" w:ascii="仿宋" w:hAnsi="仿宋" w:eastAsia="仿宋"/>
          <w:b/>
          <w:bCs/>
          <w:color w:val="FF0000"/>
          <w:sz w:val="24"/>
          <w:szCs w:val="24"/>
          <w:highlight w:val="yellow"/>
        </w:rPr>
        <w:t>（根据项目情况各成员学校可自行修改）</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3"/>
        <w:tblW w:w="5134" w:type="pct"/>
        <w:tblInd w:w="0" w:type="dxa"/>
        <w:tblLayout w:type="fixed"/>
        <w:tblCellMar>
          <w:top w:w="0" w:type="dxa"/>
          <w:left w:w="108" w:type="dxa"/>
          <w:bottom w:w="0" w:type="dxa"/>
          <w:right w:w="108" w:type="dxa"/>
        </w:tblCellMar>
      </w:tblPr>
      <w:tblGrid>
        <w:gridCol w:w="721"/>
        <w:gridCol w:w="1160"/>
        <w:gridCol w:w="2713"/>
        <w:gridCol w:w="739"/>
        <w:gridCol w:w="615"/>
        <w:gridCol w:w="859"/>
        <w:gridCol w:w="983"/>
        <w:gridCol w:w="1024"/>
        <w:gridCol w:w="1015"/>
      </w:tblGrid>
      <w:tr>
        <w:tblPrEx>
          <w:tblCellMar>
            <w:top w:w="0" w:type="dxa"/>
            <w:left w:w="108" w:type="dxa"/>
            <w:bottom w:w="0" w:type="dxa"/>
            <w:right w:w="108" w:type="dxa"/>
          </w:tblCellMar>
        </w:tblPrEx>
        <w:trPr>
          <w:trHeight w:val="492"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116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2713"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739"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61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859"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983"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102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FF0000"/>
                <w:sz w:val="20"/>
                <w:szCs w:val="20"/>
              </w:rPr>
            </w:pPr>
            <w:r>
              <w:rPr>
                <w:rFonts w:hint="eastAsia" w:ascii="仿宋" w:hAnsi="仿宋" w:eastAsia="仿宋" w:cs="Tahoma"/>
                <w:b/>
                <w:bCs/>
                <w:color w:val="FF0000"/>
                <w:sz w:val="20"/>
                <w:szCs w:val="20"/>
              </w:rPr>
              <w:t>是否提供样品</w:t>
            </w: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721"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2713" w:type="dxa"/>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73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1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5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983"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2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721"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2713" w:type="dxa"/>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73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1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5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983"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2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721"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2713" w:type="dxa"/>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73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1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5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983"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2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721"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2713" w:type="dxa"/>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73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1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5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983"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2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721"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2713" w:type="dxa"/>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73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1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5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983"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2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721"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2713" w:type="dxa"/>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73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1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5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983"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2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721"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2713" w:type="dxa"/>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73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1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5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983"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2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721"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2713" w:type="dxa"/>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73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1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5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983"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2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4" w:name="_Toc236021457"/>
      <w:bookmarkStart w:id="115" w:name="_Toc266868679"/>
      <w:bookmarkStart w:id="116" w:name="_Toc181436466"/>
      <w:bookmarkStart w:id="117" w:name="_Toc259692656"/>
      <w:bookmarkStart w:id="118" w:name="_Toc267059544"/>
      <w:bookmarkStart w:id="119" w:name="_Toc191803631"/>
      <w:bookmarkStart w:id="120" w:name="_Toc182372787"/>
      <w:bookmarkStart w:id="121" w:name="_Toc259520874"/>
      <w:bookmarkStart w:id="122" w:name="_Toc266870916"/>
      <w:bookmarkStart w:id="123" w:name="_Toc180302918"/>
      <w:bookmarkStart w:id="124" w:name="_Toc235438281"/>
      <w:bookmarkStart w:id="125" w:name="_Toc267059924"/>
      <w:bookmarkStart w:id="126" w:name="_Toc213756001"/>
      <w:bookmarkStart w:id="127" w:name="_Toc193165739"/>
      <w:bookmarkStart w:id="128" w:name="_Toc193160453"/>
      <w:bookmarkStart w:id="129" w:name="_Toc160880534"/>
      <w:bookmarkStart w:id="130" w:name="_Toc232302122"/>
      <w:bookmarkStart w:id="131" w:name="_Toc254790909"/>
      <w:bookmarkStart w:id="132" w:name="_Toc192663840"/>
      <w:bookmarkStart w:id="133" w:name="_Toc255975016"/>
      <w:bookmarkStart w:id="134" w:name="_Toc235438352"/>
      <w:bookmarkStart w:id="135" w:name="_Toc267059811"/>
      <w:bookmarkStart w:id="136" w:name="_Toc213208771"/>
      <w:bookmarkStart w:id="137" w:name="_Toc211917121"/>
      <w:bookmarkStart w:id="138" w:name="_Toc169332843"/>
      <w:bookmarkStart w:id="139" w:name="_Toc267059658"/>
      <w:bookmarkStart w:id="140" w:name="_Toc213755864"/>
      <w:bookmarkStart w:id="141" w:name="_Toc266868943"/>
      <w:bookmarkStart w:id="142" w:name="_Toc267060216"/>
      <w:bookmarkStart w:id="143" w:name="_Toc192664158"/>
      <w:bookmarkStart w:id="144" w:name="_Toc213755945"/>
      <w:bookmarkStart w:id="145" w:name="_Toc177985474"/>
      <w:bookmarkStart w:id="146" w:name="_Toc191789334"/>
      <w:bookmarkStart w:id="147" w:name="_Toc273178703"/>
      <w:bookmarkStart w:id="148" w:name="_Toc249325720"/>
      <w:bookmarkStart w:id="149" w:name="_Toc223146614"/>
      <w:bookmarkStart w:id="150" w:name="_Toc192996343"/>
      <w:bookmarkStart w:id="151" w:name="_Toc169332954"/>
      <w:bookmarkStart w:id="152" w:name="_Toc267060326"/>
      <w:bookmarkStart w:id="153" w:name="_Toc182805222"/>
      <w:bookmarkStart w:id="154" w:name="_Toc230071153"/>
      <w:bookmarkStart w:id="155" w:name="_Toc258401265"/>
      <w:bookmarkStart w:id="156" w:name="_Toc191802695"/>
      <w:bookmarkStart w:id="157" w:name="_Toc225669328"/>
      <w:bookmarkStart w:id="158" w:name="_Toc253066624"/>
      <w:bookmarkStart w:id="159" w:name="_Toc160880165"/>
      <w:bookmarkStart w:id="160" w:name="_Toc181436570"/>
      <w:bookmarkStart w:id="161" w:name="_Toc267060076"/>
      <w:bookmarkStart w:id="162" w:name="_Toc219800249"/>
      <w:bookmarkStart w:id="163" w:name="_Toc191783227"/>
      <w:bookmarkStart w:id="164" w:name="_Toc235437998"/>
      <w:bookmarkStart w:id="165" w:name="_Toc213756057"/>
      <w:bookmarkStart w:id="166" w:name="_Toc251586241"/>
      <w:bookmarkStart w:id="167" w:name="_Toc203355738"/>
      <w:bookmarkStart w:id="168" w:name="_Toc267060461"/>
      <w:bookmarkStart w:id="169" w:name="_Toc251613839"/>
      <w:bookmarkStart w:id="170" w:name="_Toc170798798"/>
      <w:bookmarkStart w:id="171" w:name="_Toc259692749"/>
      <w:bookmarkStart w:id="172" w:name="_Toc267059186"/>
      <w:bookmarkStart w:id="173" w:name="_Toc266870441"/>
      <w:bookmarkStart w:id="174" w:name="_Toc227058536"/>
      <w:bookmarkStart w:id="175" w:name="_Toc192663691"/>
      <w:bookmarkStart w:id="176" w:name="_Toc192996451"/>
      <w:bookmarkStart w:id="177" w:name="_Toc217891408"/>
      <w:bookmarkStart w:id="178" w:name="_Toc267059035"/>
      <w:bookmarkStart w:id="179" w:name="_Toc266870839"/>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sz w:val="24"/>
          <w:szCs w:val="24"/>
        </w:rPr>
        <w:t>参与人资质材料</w:t>
      </w:r>
    </w:p>
    <w:p>
      <w:pPr>
        <w:pStyle w:val="39"/>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4"/>
        <w:numPr>
          <w:ilvl w:val="0"/>
          <w:numId w:val="11"/>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4"/>
        <w:numPr>
          <w:ilvl w:val="0"/>
          <w:numId w:val="11"/>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4"/>
        <w:numPr>
          <w:ilvl w:val="0"/>
          <w:numId w:val="11"/>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386205" cy="403225"/>
          <wp:effectExtent l="0" t="0" r="4445" b="15875"/>
          <wp:docPr id="3" name="图片 3"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州松田职业学院"/>
                  <pic:cNvPicPr>
                    <a:picLocks noChangeAspect="1"/>
                  </pic:cNvPicPr>
                </pic:nvPicPr>
                <pic:blipFill>
                  <a:blip r:embed="rId1"/>
                  <a:stretch>
                    <a:fillRect/>
                  </a:stretch>
                </pic:blipFill>
                <pic:spPr>
                  <a:xfrm>
                    <a:off x="0" y="0"/>
                    <a:ext cx="1386205" cy="4032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447165" cy="421005"/>
          <wp:effectExtent l="0" t="0" r="635" b="17145"/>
          <wp:docPr id="2" name="图片 2"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州松田职业学院"/>
                  <pic:cNvPicPr>
                    <a:picLocks noChangeAspect="1"/>
                  </pic:cNvPicPr>
                </pic:nvPicPr>
                <pic:blipFill>
                  <a:blip r:embed="rId1"/>
                  <a:stretch>
                    <a:fillRect/>
                  </a:stretch>
                </pic:blipFill>
                <pic:spPr>
                  <a:xfrm>
                    <a:off x="0" y="0"/>
                    <a:ext cx="1447165" cy="42100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38354"/>
    <w:multiLevelType w:val="singleLevel"/>
    <w:tmpl w:val="B4538354"/>
    <w:lvl w:ilvl="0" w:tentative="0">
      <w:start w:val="1"/>
      <w:numFmt w:val="decimal"/>
      <w:suff w:val="nothing"/>
      <w:lvlText w:val="%1、"/>
      <w:lvlJc w:val="left"/>
    </w:lvl>
  </w:abstractNum>
  <w:abstractNum w:abstractNumId="1">
    <w:nsid w:val="BA94E9B7"/>
    <w:multiLevelType w:val="singleLevel"/>
    <w:tmpl w:val="BA94E9B7"/>
    <w:lvl w:ilvl="0" w:tentative="0">
      <w:start w:val="1"/>
      <w:numFmt w:val="decimal"/>
      <w:lvlText w:val="%1."/>
      <w:lvlJc w:val="left"/>
      <w:pPr>
        <w:tabs>
          <w:tab w:val="left" w:pos="312"/>
        </w:tabs>
      </w:pPr>
    </w:lvl>
  </w:abstractNum>
  <w:abstractNum w:abstractNumId="2">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3">
    <w:nsid w:val="151E58B1"/>
    <w:multiLevelType w:val="singleLevel"/>
    <w:tmpl w:val="151E58B1"/>
    <w:lvl w:ilvl="0" w:tentative="0">
      <w:start w:val="1"/>
      <w:numFmt w:val="decimal"/>
      <w:lvlText w:val="%1."/>
      <w:lvlJc w:val="left"/>
      <w:pPr>
        <w:tabs>
          <w:tab w:val="left" w:pos="312"/>
        </w:tabs>
      </w:pPr>
    </w:lvl>
  </w:abstractNum>
  <w:abstractNum w:abstractNumId="4">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6">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62E39873"/>
    <w:multiLevelType w:val="singleLevel"/>
    <w:tmpl w:val="62E39873"/>
    <w:lvl w:ilvl="0" w:tentative="0">
      <w:start w:val="1"/>
      <w:numFmt w:val="decimal"/>
      <w:lvlText w:val="%1."/>
      <w:lvlJc w:val="left"/>
    </w:lvl>
  </w:abstractNum>
  <w:abstractNum w:abstractNumId="9">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0">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7"/>
  </w:num>
  <w:num w:numId="4">
    <w:abstractNumId w:val="9"/>
  </w:num>
  <w:num w:numId="5">
    <w:abstractNumId w:val="5"/>
  </w:num>
  <w:num w:numId="6">
    <w:abstractNumId w:val="3"/>
  </w:num>
  <w:num w:numId="7">
    <w:abstractNumId w:val="0"/>
  </w:num>
  <w:num w:numId="8">
    <w:abstractNumId w:val="1"/>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mNmE2ZDAxNjA3ZDc2MWMwYjk2NTcxMTJiYTFkMjUifQ=="/>
  </w:docVars>
  <w:rsids>
    <w:rsidRoot w:val="00000000"/>
    <w:rsid w:val="1E9A2410"/>
    <w:rsid w:val="260B40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unhideWhenUsed/>
    <w:qFormat/>
    <w:uiPriority w:val="9"/>
    <w:pPr>
      <w:keepNext/>
      <w:keepLines/>
      <w:spacing w:before="120" w:after="0"/>
      <w:outlineLvl w:val="6"/>
    </w:pPr>
    <w:rPr>
      <w:i/>
      <w:iCs/>
    </w:rPr>
  </w:style>
  <w:style w:type="paragraph" w:styleId="9">
    <w:name w:val="heading 8"/>
    <w:basedOn w:val="1"/>
    <w:next w:val="1"/>
    <w:link w:val="35"/>
    <w:unhideWhenUsed/>
    <w:qFormat/>
    <w:uiPriority w:val="9"/>
    <w:pPr>
      <w:keepNext/>
      <w:keepLines/>
      <w:spacing w:before="120" w:after="0"/>
      <w:outlineLvl w:val="7"/>
    </w:pPr>
    <w:rPr>
      <w:b/>
      <w:bCs/>
    </w:rPr>
  </w:style>
  <w:style w:type="paragraph" w:styleId="10">
    <w:name w:val="heading 9"/>
    <w:basedOn w:val="1"/>
    <w:next w:val="1"/>
    <w:link w:val="36"/>
    <w:unhideWhenUsed/>
    <w:qFormat/>
    <w:uiPriority w:val="9"/>
    <w:pPr>
      <w:keepNext/>
      <w:keepLines/>
      <w:spacing w:before="120" w:after="0"/>
      <w:outlineLvl w:val="8"/>
    </w:pPr>
    <w:rPr>
      <w:i/>
      <w:iCs/>
    </w:rPr>
  </w:style>
  <w:style w:type="character" w:default="1" w:styleId="24">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unhideWhenUsed/>
    <w:qFormat/>
    <w:uiPriority w:val="35"/>
    <w:rPr>
      <w:b/>
      <w:bCs/>
      <w:sz w:val="18"/>
      <w:szCs w:val="18"/>
    </w:rPr>
  </w:style>
  <w:style w:type="paragraph" w:styleId="13">
    <w:name w:val="Body Text"/>
    <w:basedOn w:val="1"/>
    <w:link w:val="58"/>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qFormat/>
    <w:uiPriority w:val="11"/>
    <w:rPr>
      <w:rFonts w:asciiTheme="majorHAnsi" w:hAnsiTheme="majorHAnsi" w:eastAsiaTheme="majorEastAsia" w:cstheme="majorBidi"/>
      <w:sz w:val="24"/>
      <w:szCs w:val="24"/>
    </w:rPr>
  </w:style>
  <w:style w:type="paragraph" w:customStyle="1"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customStyle="1"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customStyle="1"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customStyle="1"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character" w:customStyle="1" w:styleId="60">
    <w:name w:val="font31"/>
    <w:basedOn w:val="24"/>
    <w:qFormat/>
    <w:uiPriority w:val="0"/>
    <w:rPr>
      <w:rFonts w:hint="eastAsia" w:ascii="宋体" w:hAnsi="宋体" w:eastAsia="宋体" w:cs="宋体"/>
      <w:color w:val="000000"/>
      <w:sz w:val="20"/>
      <w:szCs w:val="20"/>
      <w:u w:val="none"/>
    </w:rPr>
  </w:style>
  <w:style w:type="character" w:customStyle="1" w:styleId="61">
    <w:name w:val="font21"/>
    <w:basedOn w:val="24"/>
    <w:qFormat/>
    <w:uiPriority w:val="0"/>
    <w:rPr>
      <w:rFonts w:hint="eastAsia" w:ascii="宋体" w:hAnsi="宋体" w:eastAsia="宋体" w:cs="宋体"/>
      <w:color w:val="000000"/>
      <w:sz w:val="20"/>
      <w:szCs w:val="20"/>
      <w:u w:val="none"/>
    </w:rPr>
  </w:style>
  <w:style w:type="character" w:customStyle="1" w:styleId="62">
    <w:name w:val="font11"/>
    <w:basedOn w:val="24"/>
    <w:qFormat/>
    <w:uiPriority w:val="0"/>
    <w:rPr>
      <w:rFonts w:hint="eastAsia" w:ascii="宋体" w:hAnsi="宋体" w:eastAsia="宋体" w:cs="宋体"/>
      <w:color w:val="000000"/>
      <w:sz w:val="20"/>
      <w:szCs w:val="20"/>
      <w:u w:val="none"/>
    </w:rPr>
  </w:style>
  <w:style w:type="character" w:customStyle="1" w:styleId="63">
    <w:name w:val="font51"/>
    <w:basedOn w:val="24"/>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5452</Words>
  <Characters>6170</Characters>
  <Lines>19</Lines>
  <Paragraphs>5</Paragraphs>
  <TotalTime>2</TotalTime>
  <ScaleCrop>false</ScaleCrop>
  <LinksUpToDate>false</LinksUpToDate>
  <CharactersWithSpaces>6621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2020-04-22T18:27:00Z</dcterms:created>
  <dc:creator>树亮 门</dc:creator>
  <cp:lastModifiedBy>陈惠琳</cp:lastModifiedBy>
  <dcterms:modified xsi:type="dcterms:W3CDTF">2022-07-29T10:44:08Z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4DB675F2EE6A4B16B887F782EE1689F1</vt:lpwstr>
  </property>
</Properties>
</file>