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59520819"/>
      <w:bookmarkStart w:id="1" w:name="_Toc169332904"/>
      <w:bookmarkStart w:id="2" w:name="_Toc177985424"/>
      <w:bookmarkStart w:id="3" w:name="_Toc267059519"/>
      <w:bookmarkStart w:id="4" w:name="_Toc266870386"/>
      <w:bookmarkStart w:id="5" w:name="_Toc251586187"/>
      <w:bookmarkStart w:id="6" w:name="_Toc160880487"/>
      <w:bookmarkStart w:id="7" w:name="_Toc211937196"/>
      <w:bookmarkStart w:id="8" w:name="_Toc259692600"/>
      <w:bookmarkStart w:id="9" w:name="_Toc227058483"/>
      <w:bookmarkStart w:id="10" w:name="_Toc212456146"/>
      <w:bookmarkStart w:id="11" w:name="_Toc267059161"/>
      <w:bookmarkStart w:id="12" w:name="_Toc235438297"/>
      <w:bookmarkStart w:id="13" w:name="_Toc235437942"/>
      <w:bookmarkStart w:id="14" w:name="_Toc170798743"/>
      <w:bookmarkStart w:id="15" w:name="_Toc249325665"/>
      <w:bookmarkStart w:id="16" w:name="_Toc258401210"/>
      <w:bookmarkStart w:id="17" w:name="_Toc169332794"/>
      <w:bookmarkStart w:id="18" w:name="_Toc259692693"/>
      <w:bookmarkStart w:id="19" w:name="_Toc223146565"/>
      <w:bookmarkStart w:id="20" w:name="_Toc267060022"/>
      <w:bookmarkStart w:id="21" w:name="_Toc266870861"/>
      <w:bookmarkStart w:id="22" w:name="_Toc207014580"/>
      <w:bookmarkStart w:id="23" w:name="_Toc236021402"/>
      <w:bookmarkStart w:id="24" w:name="_Toc273178686"/>
      <w:bookmarkStart w:id="25" w:name="_Toc267059010"/>
      <w:bookmarkStart w:id="26" w:name="_Toc216241307"/>
      <w:bookmarkStart w:id="27" w:name="_Toc253066567"/>
      <w:bookmarkStart w:id="28" w:name="_Toc266868924"/>
      <w:bookmarkStart w:id="29" w:name="_Toc266868624"/>
      <w:bookmarkStart w:id="30" w:name="_Toc255974963"/>
      <w:bookmarkStart w:id="31" w:name="_Toc267059899"/>
      <w:bookmarkStart w:id="32" w:name="_Toc212530253"/>
      <w:bookmarkStart w:id="33" w:name="_Toc212454753"/>
      <w:bookmarkStart w:id="34" w:name="_Toc235438227"/>
      <w:bookmarkStart w:id="35" w:name="_Toc251613780"/>
      <w:bookmarkStart w:id="36" w:name="_Toc219800200"/>
      <w:bookmarkStart w:id="37" w:name="_Toc267060407"/>
      <w:bookmarkStart w:id="38" w:name="_Toc254790852"/>
      <w:bookmarkStart w:id="39" w:name="_Toc225669277"/>
      <w:bookmarkStart w:id="40" w:name="_Toc267060162"/>
      <w:bookmarkStart w:id="41" w:name="_Toc217891359"/>
      <w:bookmarkStart w:id="42" w:name="_Toc267059633"/>
      <w:bookmarkStart w:id="43" w:name="_Toc267059786"/>
      <w:bookmarkStart w:id="44" w:name="_Toc212526081"/>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B-XJ2022-08</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广州松田职业学院高密AP采购及安装项目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高密AP</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val="en-US" w:eastAsia="zh-CN"/>
        </w:rPr>
        <w:t>高密AP</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04</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下午14</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w:t>
      </w:r>
      <w:bookmarkStart w:id="180" w:name="_GoBack"/>
      <w:bookmarkEnd w:id="180"/>
      <w:r>
        <w:rPr>
          <w:rFonts w:hint="eastAsia" w:ascii="仿宋" w:hAnsi="仿宋" w:eastAsia="仿宋"/>
          <w:color w:val="auto"/>
          <w:sz w:val="24"/>
          <w:szCs w:val="24"/>
        </w:rPr>
        <w:t>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一个参与人只能提交一个报价响应文件，</w:t>
      </w:r>
      <w:r>
        <w:rPr>
          <w:rFonts w:hint="eastAsia" w:ascii="仿宋" w:hAnsi="仿宋" w:eastAsia="仿宋"/>
          <w:sz w:val="24"/>
          <w:szCs w:val="24"/>
          <w:lang w:val="en-US" w:eastAsia="zh-CN"/>
        </w:rPr>
        <w:t>报价须分</w:t>
      </w:r>
      <w:r>
        <w:rPr>
          <w:rFonts w:hint="eastAsia" w:ascii="仿宋" w:hAnsi="仿宋" w:eastAsia="仿宋"/>
          <w:sz w:val="24"/>
          <w:szCs w:val="24"/>
        </w:rPr>
        <w:t>商务部分以及技术部分</w:t>
      </w:r>
      <w:r>
        <w:rPr>
          <w:rFonts w:hint="eastAsia" w:ascii="仿宋" w:hAnsi="仿宋" w:eastAsia="仿宋"/>
          <w:sz w:val="24"/>
          <w:szCs w:val="24"/>
          <w:lang w:val="en-US" w:eastAsia="zh-CN"/>
        </w:rPr>
        <w:t>两个文件</w:t>
      </w:r>
      <w:r>
        <w:rPr>
          <w:rFonts w:hint="eastAsia" w:ascii="仿宋" w:hAnsi="仿宋" w:eastAsia="仿宋"/>
          <w:sz w:val="24"/>
          <w:szCs w:val="24"/>
        </w:rPr>
        <w:t>并且独立密封</w:t>
      </w:r>
      <w:r>
        <w:rPr>
          <w:rFonts w:hint="eastAsia" w:ascii="仿宋" w:hAnsi="仿宋" w:eastAsia="仿宋"/>
          <w:sz w:val="24"/>
          <w:szCs w:val="24"/>
          <w:lang w:eastAsia="zh-CN"/>
        </w:rPr>
        <w:t>（</w:t>
      </w:r>
      <w:r>
        <w:rPr>
          <w:rFonts w:hint="eastAsia" w:ascii="仿宋" w:hAnsi="仿宋" w:eastAsia="仿宋"/>
          <w:sz w:val="24"/>
          <w:szCs w:val="24"/>
          <w:lang w:val="en-US" w:eastAsia="zh-CN"/>
        </w:rPr>
        <w:t>技术部分不体现价格</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商务及技术分别</w:t>
      </w:r>
      <w:r>
        <w:rPr>
          <w:rFonts w:hint="eastAsia" w:ascii="仿宋" w:hAnsi="仿宋" w:eastAsia="仿宋"/>
          <w:sz w:val="24"/>
          <w:szCs w:val="24"/>
        </w:rPr>
        <w:t>提供正本：一份，副本：二份，</w:t>
      </w:r>
      <w:r>
        <w:rPr>
          <w:rFonts w:hint="eastAsia" w:ascii="仿宋" w:hAnsi="仿宋" w:eastAsia="仿宋"/>
          <w:sz w:val="24"/>
          <w:szCs w:val="24"/>
          <w:lang w:val="en-US" w:eastAsia="zh-CN"/>
        </w:rPr>
        <w:t>共6份，</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日</w:t>
      </w:r>
    </w:p>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7" w:type="pct"/>
        <w:tblInd w:w="-278" w:type="dxa"/>
        <w:tblLayout w:type="fixed"/>
        <w:tblCellMar>
          <w:top w:w="0" w:type="dxa"/>
          <w:left w:w="108" w:type="dxa"/>
          <w:bottom w:w="0" w:type="dxa"/>
          <w:right w:w="108" w:type="dxa"/>
        </w:tblCellMar>
      </w:tblPr>
      <w:tblGrid>
        <w:gridCol w:w="570"/>
        <w:gridCol w:w="1050"/>
        <w:gridCol w:w="5190"/>
        <w:gridCol w:w="720"/>
        <w:gridCol w:w="735"/>
        <w:gridCol w:w="735"/>
        <w:gridCol w:w="841"/>
        <w:gridCol w:w="689"/>
      </w:tblGrid>
      <w:tr>
        <w:tblPrEx>
          <w:tblCellMar>
            <w:top w:w="0" w:type="dxa"/>
            <w:left w:w="108" w:type="dxa"/>
            <w:bottom w:w="0" w:type="dxa"/>
            <w:right w:w="108" w:type="dxa"/>
          </w:tblCellMar>
        </w:tblPrEx>
        <w:trPr>
          <w:trHeight w:val="492" w:hRule="atLeast"/>
        </w:trPr>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4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246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bookmarkStart w:id="47" w:name="_Hlk78721021"/>
            <w:r>
              <w:rPr>
                <w:rFonts w:hint="eastAsia" w:ascii="仿宋" w:hAnsi="仿宋" w:eastAsia="仿宋" w:cs="仿宋"/>
                <w:b/>
                <w:bCs/>
                <w:color w:val="000000"/>
                <w:sz w:val="20"/>
                <w:szCs w:val="20"/>
              </w:rPr>
              <w:t>规格型号（技术参数）</w:t>
            </w:r>
            <w:bookmarkEnd w:id="47"/>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单价（元）</w:t>
            </w: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总价（元）</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sz w:val="21"/>
                <w:szCs w:val="21"/>
                <w:lang w:val="en-US" w:eastAsia="zh-CN"/>
              </w:rPr>
              <w:t>1</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bidi="ar-SA"/>
              </w:rPr>
            </w:pPr>
            <w:r>
              <w:rPr>
                <w:rFonts w:hint="eastAsia" w:ascii="仿宋" w:hAnsi="仿宋" w:eastAsia="仿宋" w:cs="仿宋"/>
                <w:sz w:val="21"/>
                <w:szCs w:val="21"/>
              </w:rPr>
              <w:t>高密度AP</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支持标准的802.11ac Wave2、wifi6(802.AX)协议标准；</w:t>
            </w:r>
          </w:p>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最少支持一个2.4GHz射频，一个5GHz射频，整机空间流≥6，整机接入速率≥3000 Mbps支持终端接入数≥200；</w:t>
            </w:r>
          </w:p>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固有标准的10/100/1000Mbps以太网接口≥1；</w:t>
            </w:r>
          </w:p>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支持WEB认证；支持IPV6，支持PoE供电，支持SSID漫游；</w:t>
            </w:r>
          </w:p>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支持胖/瘦AP两种工作模式的切换，在瘦AP工作模式时，AP与控制器之间采用国际标准的CAPWAP协议通信；</w:t>
            </w:r>
          </w:p>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能与准入、准出、计费管理系统联动，实现准入、准出认证和计费的功能；</w:t>
            </w:r>
          </w:p>
          <w:p>
            <w:pPr>
              <w:keepNext w:val="0"/>
              <w:keepLines w:val="0"/>
              <w:pageBreakBefore w:val="0"/>
              <w:widowControl/>
              <w:numPr>
                <w:ilvl w:val="0"/>
                <w:numId w:val="6"/>
              </w:numPr>
              <w:kinsoku/>
              <w:wordWrap/>
              <w:overflowPunct/>
              <w:topLinePunct w:val="0"/>
              <w:autoSpaceDE/>
              <w:autoSpaceDN/>
              <w:bidi w:val="0"/>
              <w:adjustRightInd/>
              <w:snapToGrid w:val="0"/>
              <w:spacing w:after="0" w:line="240" w:lineRule="auto"/>
              <w:ind w:left="0" w:leftChars="0" w:firstLine="0" w:firstLineChars="0"/>
              <w:rPr>
                <w:rFonts w:hint="eastAsia" w:ascii="仿宋" w:hAnsi="仿宋" w:eastAsia="仿宋" w:cs="仿宋"/>
                <w:color w:val="000000"/>
                <w:sz w:val="20"/>
                <w:szCs w:val="20"/>
                <w:lang w:val="en-US" w:eastAsia="zh-CN" w:bidi="ar-SA"/>
              </w:rPr>
            </w:pPr>
            <w:r>
              <w:rPr>
                <w:rFonts w:hint="eastAsia" w:ascii="仿宋" w:hAnsi="仿宋" w:eastAsia="仿宋" w:cs="仿宋"/>
                <w:sz w:val="21"/>
                <w:szCs w:val="21"/>
              </w:rPr>
              <w:t>为保证兼容性，要求与无线控制器统一品牌。</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val="en-US" w:eastAsia="zh-CN" w:bidi="ar"/>
              </w:rPr>
              <w:t>个</w:t>
            </w:r>
          </w:p>
        </w:tc>
        <w:tc>
          <w:tcPr>
            <w:tcW w:w="7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bidi="ar-SA"/>
              </w:rPr>
            </w:pPr>
            <w:r>
              <w:rPr>
                <w:rFonts w:hint="eastAsia" w:ascii="仿宋" w:hAnsi="仿宋" w:eastAsia="仿宋" w:cs="仿宋"/>
                <w:sz w:val="21"/>
                <w:szCs w:val="21"/>
                <w:lang w:val="en-US" w:eastAsia="zh-CN"/>
              </w:rPr>
              <w:t>50</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sz w:val="21"/>
                <w:szCs w:val="21"/>
                <w:lang w:val="en-US" w:eastAsia="zh-CN"/>
              </w:rPr>
              <w:t>2</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bidi="ar-SA"/>
              </w:rPr>
            </w:pPr>
            <w:r>
              <w:rPr>
                <w:rFonts w:hint="eastAsia" w:ascii="仿宋" w:hAnsi="仿宋" w:eastAsia="仿宋" w:cs="仿宋"/>
                <w:sz w:val="21"/>
                <w:szCs w:val="21"/>
              </w:rPr>
              <w:t>无线控制器</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万兆接口数≥2，转发性能≥40G；</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本次配置授权数:AP授权数≥200，高密授权考虑在内（因各厂商授权计算方式不同，每个厂商自行按照以上支持各种设备授权数进行总授权数计算。）</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具备设备可配置AP的本地数据转发；</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本次项目需配置无线控制器两台，每台电源冗余，实现虚拟化，具备单台无线控制器出现宕机时无线业务不中断；</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具备检测环境中非法AP接入的功能，并对非法AP屏蔽；</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ascii="仿宋" w:hAnsi="仿宋" w:eastAsia="仿宋" w:cs="仿宋"/>
                <w:sz w:val="21"/>
                <w:szCs w:val="21"/>
              </w:rPr>
            </w:pPr>
            <w:r>
              <w:rPr>
                <w:rFonts w:hint="eastAsia" w:ascii="仿宋" w:hAnsi="仿宋" w:eastAsia="仿宋" w:cs="仿宋"/>
                <w:sz w:val="21"/>
                <w:szCs w:val="21"/>
              </w:rPr>
              <w:t>具备攻击防护功能；</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hint="eastAsia" w:ascii="仿宋" w:hAnsi="仿宋" w:eastAsia="仿宋" w:cs="仿宋"/>
                <w:color w:val="000000"/>
                <w:sz w:val="20"/>
                <w:szCs w:val="20"/>
                <w:lang w:val="en-US" w:eastAsia="zh-CN" w:bidi="ar-SA"/>
              </w:rPr>
            </w:pPr>
            <w:r>
              <w:rPr>
                <w:rFonts w:hint="eastAsia" w:ascii="仿宋" w:hAnsi="仿宋" w:eastAsia="仿宋" w:cs="仿宋"/>
                <w:sz w:val="21"/>
                <w:szCs w:val="21"/>
              </w:rPr>
              <w:t>认证管理，支持Portal认证、Portal页面推送、802.1x认证。</w:t>
            </w:r>
          </w:p>
          <w:p>
            <w:pPr>
              <w:keepNext w:val="0"/>
              <w:keepLines w:val="0"/>
              <w:pageBreakBefore w:val="0"/>
              <w:widowControl/>
              <w:numPr>
                <w:ilvl w:val="0"/>
                <w:numId w:val="7"/>
              </w:numPr>
              <w:kinsoku/>
              <w:wordWrap/>
              <w:overflowPunct/>
              <w:topLinePunct w:val="0"/>
              <w:autoSpaceDE/>
              <w:autoSpaceDN/>
              <w:bidi w:val="0"/>
              <w:adjustRightInd/>
              <w:snapToGrid w:val="0"/>
              <w:spacing w:after="0" w:line="240" w:lineRule="auto"/>
              <w:ind w:left="0" w:leftChars="0" w:firstLine="0" w:firstLineChars="0"/>
              <w:rPr>
                <w:rFonts w:hint="eastAsia" w:ascii="仿宋" w:hAnsi="仿宋" w:eastAsia="仿宋" w:cs="仿宋"/>
                <w:color w:val="000000"/>
                <w:sz w:val="20"/>
                <w:szCs w:val="20"/>
                <w:lang w:val="en-US" w:eastAsia="zh-CN" w:bidi="ar-SA"/>
              </w:rPr>
            </w:pPr>
            <w:r>
              <w:rPr>
                <w:rFonts w:hint="eastAsia" w:ascii="仿宋" w:hAnsi="仿宋" w:eastAsia="仿宋" w:cs="仿宋"/>
                <w:sz w:val="21"/>
                <w:szCs w:val="21"/>
                <w:lang w:val="en-US" w:eastAsia="zh-CN"/>
              </w:rPr>
              <w:t>如配备的AP兼容无线控制器</w:t>
            </w:r>
            <w:r>
              <w:rPr>
                <w:rFonts w:hint="eastAsia" w:ascii="仿宋" w:hAnsi="仿宋" w:eastAsia="仿宋" w:cs="仿宋"/>
                <w:i w:val="0"/>
                <w:iCs w:val="0"/>
                <w:color w:val="000000"/>
                <w:kern w:val="0"/>
                <w:sz w:val="21"/>
                <w:szCs w:val="21"/>
                <w:u w:val="none"/>
                <w:lang w:val="en-US" w:eastAsia="zh-CN" w:bidi="ar"/>
              </w:rPr>
              <w:t>RG-WS6812，则不用采购无线控制器</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val="en-US" w:eastAsia="zh-CN" w:bidi="ar"/>
              </w:rPr>
              <w:t>个</w:t>
            </w:r>
          </w:p>
        </w:tc>
        <w:tc>
          <w:tcPr>
            <w:tcW w:w="7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bidi="ar-SA"/>
              </w:rPr>
            </w:pPr>
            <w:r>
              <w:rPr>
                <w:rFonts w:hint="eastAsia" w:ascii="仿宋" w:hAnsi="仿宋" w:eastAsia="仿宋" w:cs="仿宋"/>
                <w:sz w:val="21"/>
                <w:szCs w:val="21"/>
                <w:lang w:val="en-US" w:eastAsia="zh-CN"/>
              </w:rPr>
              <w:t>1</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sz w:val="21"/>
                <w:szCs w:val="21"/>
                <w:lang w:val="en-US" w:eastAsia="zh-CN"/>
              </w:rPr>
              <w:t>3</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bidi="ar-SA"/>
              </w:rPr>
            </w:pPr>
            <w:r>
              <w:rPr>
                <w:rFonts w:hint="eastAsia" w:ascii="仿宋" w:hAnsi="仿宋" w:eastAsia="仿宋" w:cs="仿宋"/>
                <w:sz w:val="21"/>
                <w:szCs w:val="21"/>
                <w:lang w:val="en-US" w:eastAsia="zh-CN" w:bidi="ar-SA"/>
              </w:rPr>
              <w:t>AP安装</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000000"/>
                <w:sz w:val="20"/>
                <w:szCs w:val="20"/>
                <w:lang w:val="en-US" w:eastAsia="zh-CN" w:bidi="ar-SA"/>
              </w:rPr>
            </w:pPr>
            <w:r>
              <w:rPr>
                <w:rFonts w:hint="eastAsia" w:ascii="仿宋" w:hAnsi="仿宋" w:eastAsia="仿宋" w:cs="仿宋"/>
                <w:sz w:val="21"/>
                <w:szCs w:val="21"/>
                <w:lang w:val="en-US" w:eastAsia="zh-CN"/>
              </w:rPr>
              <w:t>网线，底盒等已做好，只需上墙后调试完毕即可。</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color w:val="000000"/>
                <w:sz w:val="20"/>
                <w:szCs w:val="20"/>
                <w:lang w:val="en-US" w:eastAsia="zh-CN" w:bidi="ar-SA"/>
              </w:rPr>
            </w:pPr>
            <w:r>
              <w:rPr>
                <w:rFonts w:hint="eastAsia" w:ascii="仿宋" w:hAnsi="仿宋" w:eastAsia="仿宋" w:cs="仿宋"/>
                <w:color w:val="000000"/>
                <w:sz w:val="20"/>
                <w:szCs w:val="20"/>
                <w:lang w:val="en-US" w:eastAsia="zh-CN" w:bidi="ar-SA"/>
              </w:rPr>
              <w:t>个</w:t>
            </w:r>
          </w:p>
        </w:tc>
        <w:tc>
          <w:tcPr>
            <w:tcW w:w="7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bidi="ar-SA"/>
              </w:rPr>
            </w:pPr>
            <w:r>
              <w:rPr>
                <w:rFonts w:hint="eastAsia" w:ascii="仿宋" w:hAnsi="仿宋" w:eastAsia="仿宋" w:cs="仿宋"/>
                <w:sz w:val="21"/>
                <w:szCs w:val="21"/>
                <w:lang w:val="en-US" w:eastAsia="zh-CN"/>
              </w:rPr>
              <w:t>50</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8"/>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8"/>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8"/>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181436565"/>
      <w:bookmarkStart w:id="49" w:name="_Toc191803626"/>
      <w:bookmarkStart w:id="50" w:name="_Toc211917116"/>
      <w:bookmarkStart w:id="51" w:name="_Toc213755858"/>
      <w:bookmarkStart w:id="52" w:name="_Toc182805217"/>
      <w:bookmarkStart w:id="53" w:name="_Toc177985469"/>
      <w:bookmarkStart w:id="54" w:name="_Toc219800243"/>
      <w:bookmarkStart w:id="55" w:name="_Toc236021449"/>
      <w:bookmarkStart w:id="56" w:name="_Toc267060321"/>
      <w:bookmarkStart w:id="57" w:name="_Toc169332838"/>
      <w:bookmarkStart w:id="58" w:name="_Toc267059919"/>
      <w:bookmarkStart w:id="59" w:name="_Toc203355733"/>
      <w:bookmarkStart w:id="60" w:name="_Toc232302115"/>
      <w:bookmarkStart w:id="61" w:name="_Toc255975007"/>
      <w:bookmarkStart w:id="62" w:name="_Toc230071147"/>
      <w:bookmarkStart w:id="63" w:name="_Toc259692740"/>
      <w:bookmarkStart w:id="64" w:name="_Toc267060208"/>
      <w:bookmarkStart w:id="65" w:name="_Toc266870432"/>
      <w:bookmarkStart w:id="66" w:name="_Toc192996338"/>
      <w:bookmarkStart w:id="67" w:name="_Toc169332949"/>
      <w:bookmarkStart w:id="68" w:name="_Toc192663835"/>
      <w:bookmarkStart w:id="69" w:name="_Toc160880529"/>
      <w:bookmarkStart w:id="70" w:name="_Toc258401256"/>
      <w:bookmarkStart w:id="71" w:name="_Toc266870907"/>
      <w:bookmarkStart w:id="72" w:name="_Toc266868670"/>
      <w:bookmarkStart w:id="73" w:name="_Toc267060068"/>
      <w:bookmarkStart w:id="74" w:name="_Toc259520865"/>
      <w:bookmarkStart w:id="75" w:name="_Toc251613829"/>
      <w:bookmarkStart w:id="76" w:name="_Toc267059653"/>
      <w:bookmarkStart w:id="77" w:name="_Toc267059030"/>
      <w:bookmarkStart w:id="78" w:name="_Toc192663686"/>
      <w:bookmarkStart w:id="79" w:name="_Toc192996446"/>
      <w:bookmarkStart w:id="80" w:name="_Toc191789329"/>
      <w:bookmarkStart w:id="81" w:name="_Toc181436461"/>
      <w:bookmarkStart w:id="82" w:name="_Toc223146608"/>
      <w:bookmarkStart w:id="83" w:name="_Toc217891402"/>
      <w:bookmarkStart w:id="84" w:name="_Toc249325711"/>
      <w:bookmarkStart w:id="85" w:name="_Toc213208766"/>
      <w:bookmarkStart w:id="86" w:name="_Toc273178698"/>
      <w:bookmarkStart w:id="87" w:name="_Toc267060453"/>
      <w:bookmarkStart w:id="88" w:name="_Toc213755939"/>
      <w:bookmarkStart w:id="89" w:name="_Toc170798793"/>
      <w:bookmarkStart w:id="90" w:name="_Toc251586231"/>
      <w:bookmarkStart w:id="91" w:name="_Toc191802690"/>
      <w:bookmarkStart w:id="92" w:name="_Toc227058530"/>
      <w:bookmarkStart w:id="93" w:name="_Toc182372782"/>
      <w:bookmarkStart w:id="94" w:name="_Toc235438344"/>
      <w:bookmarkStart w:id="95" w:name="_Toc191783222"/>
      <w:bookmarkStart w:id="96" w:name="_Toc235437991"/>
      <w:bookmarkStart w:id="97" w:name="_Toc235438274"/>
      <w:bookmarkStart w:id="98" w:name="_Toc213756051"/>
      <w:bookmarkStart w:id="99" w:name="_Toc193165734"/>
      <w:bookmarkStart w:id="100" w:name="_Toc267059181"/>
      <w:bookmarkStart w:id="101" w:name="_Toc193160448"/>
      <w:bookmarkStart w:id="102" w:name="_Toc160880160"/>
      <w:bookmarkStart w:id="103" w:name="_Toc254790899"/>
      <w:bookmarkStart w:id="104" w:name="_Toc266870833"/>
      <w:bookmarkStart w:id="105" w:name="_Toc266868937"/>
      <w:bookmarkStart w:id="106" w:name="_Toc267059806"/>
      <w:bookmarkStart w:id="107" w:name="_Toc253066614"/>
      <w:bookmarkStart w:id="108" w:name="_Toc225669322"/>
      <w:bookmarkStart w:id="109" w:name="_Toc267059539"/>
      <w:bookmarkStart w:id="110" w:name="_Toc213755995"/>
      <w:bookmarkStart w:id="111" w:name="_Toc180302913"/>
      <w:bookmarkStart w:id="112" w:name="_Toc259692647"/>
      <w:bookmarkStart w:id="113" w:name="_Toc192664153"/>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82372787"/>
      <w:bookmarkStart w:id="115" w:name="_Toc192663840"/>
      <w:bookmarkStart w:id="116" w:name="_Toc213208771"/>
      <w:bookmarkStart w:id="117" w:name="_Toc236021457"/>
      <w:bookmarkStart w:id="118" w:name="_Toc259692656"/>
      <w:bookmarkStart w:id="119" w:name="_Toc267059811"/>
      <w:bookmarkStart w:id="120" w:name="_Toc254790909"/>
      <w:bookmarkStart w:id="121" w:name="_Toc235438281"/>
      <w:bookmarkStart w:id="122" w:name="_Toc251586241"/>
      <w:bookmarkStart w:id="123" w:name="_Toc235437998"/>
      <w:bookmarkStart w:id="124" w:name="_Toc160880534"/>
      <w:bookmarkStart w:id="125" w:name="_Toc235438352"/>
      <w:bookmarkStart w:id="126" w:name="_Toc267060461"/>
      <w:bookmarkStart w:id="127" w:name="_Toc191783227"/>
      <w:bookmarkStart w:id="128" w:name="_Toc266868679"/>
      <w:bookmarkStart w:id="129" w:name="_Toc232302122"/>
      <w:bookmarkStart w:id="130" w:name="_Toc255975016"/>
      <w:bookmarkStart w:id="131" w:name="_Toc181436466"/>
      <w:bookmarkStart w:id="132" w:name="_Toc267059186"/>
      <w:bookmarkStart w:id="133" w:name="_Toc170798798"/>
      <w:bookmarkStart w:id="134" w:name="_Toc267059658"/>
      <w:bookmarkStart w:id="135" w:name="_Toc192663691"/>
      <w:bookmarkStart w:id="136" w:name="_Toc266870441"/>
      <w:bookmarkStart w:id="137" w:name="_Toc259692749"/>
      <w:bookmarkStart w:id="138" w:name="_Toc266870839"/>
      <w:bookmarkStart w:id="139" w:name="_Toc251613839"/>
      <w:bookmarkStart w:id="140" w:name="_Toc266868943"/>
      <w:bookmarkStart w:id="141" w:name="_Toc227058536"/>
      <w:bookmarkStart w:id="142" w:name="_Toc192996451"/>
      <w:bookmarkStart w:id="143" w:name="_Toc267059035"/>
      <w:bookmarkStart w:id="144" w:name="_Toc213755864"/>
      <w:bookmarkStart w:id="145" w:name="_Toc217891408"/>
      <w:bookmarkStart w:id="146" w:name="_Toc267060216"/>
      <w:bookmarkStart w:id="147" w:name="_Toc192664158"/>
      <w:bookmarkStart w:id="148" w:name="_Toc267060076"/>
      <w:bookmarkStart w:id="149" w:name="_Toc160880165"/>
      <w:bookmarkStart w:id="150" w:name="_Toc177985474"/>
      <w:bookmarkStart w:id="151" w:name="_Toc169332954"/>
      <w:bookmarkStart w:id="152" w:name="_Toc191802695"/>
      <w:bookmarkStart w:id="153" w:name="_Toc249325720"/>
      <w:bookmarkStart w:id="154" w:name="_Toc181436570"/>
      <w:bookmarkStart w:id="155" w:name="_Toc225669328"/>
      <w:bookmarkStart w:id="156" w:name="_Toc273178703"/>
      <w:bookmarkStart w:id="157" w:name="_Toc192996343"/>
      <w:bookmarkStart w:id="158" w:name="_Toc267060326"/>
      <w:bookmarkStart w:id="159" w:name="_Toc258401265"/>
      <w:bookmarkStart w:id="160" w:name="_Toc223146614"/>
      <w:bookmarkStart w:id="161" w:name="_Toc213755945"/>
      <w:bookmarkStart w:id="162" w:name="_Toc219800249"/>
      <w:bookmarkStart w:id="163" w:name="_Toc267059544"/>
      <w:bookmarkStart w:id="164" w:name="_Toc203355738"/>
      <w:bookmarkStart w:id="165" w:name="_Toc191789334"/>
      <w:bookmarkStart w:id="166" w:name="_Toc259520874"/>
      <w:bookmarkStart w:id="167" w:name="_Toc253066624"/>
      <w:bookmarkStart w:id="168" w:name="_Toc213756001"/>
      <w:bookmarkStart w:id="169" w:name="_Toc230071153"/>
      <w:bookmarkStart w:id="170" w:name="_Toc193160453"/>
      <w:bookmarkStart w:id="171" w:name="_Toc180302918"/>
      <w:bookmarkStart w:id="172" w:name="_Toc267059924"/>
      <w:bookmarkStart w:id="173" w:name="_Toc211917121"/>
      <w:bookmarkStart w:id="174" w:name="_Toc213756057"/>
      <w:bookmarkStart w:id="175" w:name="_Toc169332843"/>
      <w:bookmarkStart w:id="176" w:name="_Toc191803631"/>
      <w:bookmarkStart w:id="177" w:name="_Toc182805222"/>
      <w:bookmarkStart w:id="178" w:name="_Toc193165739"/>
      <w:bookmarkStart w:id="179" w:name="_Toc26687091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9"/>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9"/>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9"/>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E2F7C"/>
    <w:multiLevelType w:val="multilevel"/>
    <w:tmpl w:val="DA5E2F7C"/>
    <w:lvl w:ilvl="0" w:tentative="0">
      <w:start w:val="1"/>
      <w:numFmt w:val="decimal"/>
      <w:suff w:val="nothing"/>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8750E7"/>
    <w:multiLevelType w:val="multilevel"/>
    <w:tmpl w:val="3D8750E7"/>
    <w:lvl w:ilvl="0" w:tentative="0">
      <w:start w:val="1"/>
      <w:numFmt w:val="decimal"/>
      <w:suff w:val="nothing"/>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6"/>
  </w:num>
  <w:num w:numId="4">
    <w:abstractNumId w:val="7"/>
  </w:num>
  <w:num w:numId="5">
    <w:abstractNumId w:val="4"/>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487FFE"/>
    <w:rsid w:val="06655F2D"/>
    <w:rsid w:val="247C007F"/>
    <w:rsid w:val="2FF55188"/>
    <w:rsid w:val="3446126F"/>
    <w:rsid w:val="50946CB8"/>
    <w:rsid w:val="6B4250A5"/>
    <w:rsid w:val="77EA5CB6"/>
    <w:rsid w:val="7AB5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2721</Words>
  <Characters>2944</Characters>
  <Lines>19</Lines>
  <Paragraphs>5</Paragraphs>
  <TotalTime>7</TotalTime>
  <ScaleCrop>false</ScaleCrop>
  <LinksUpToDate>false</LinksUpToDate>
  <CharactersWithSpaces>3156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2022-06-27T02:30:18Z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4DD0B75F20A6426CAC30A00459706332</vt:lpwstr>
  </property>
</Properties>
</file>