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广州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松田职业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学院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关于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纸质图书采购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jc w:val="left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根据公开、公平、公正的原则，广州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松田职业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学院依据需求，现将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纸质图书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进行采购竞争性磋商，邀请符合资格且国内有意向商家参与。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磋商编号：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B-ZB2021-05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磋商货物：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纸质图书一批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图书目录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（1）参与人应具有独立法人资格，具有独立承担民事责任能力的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供应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（2）参与人应具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有提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纸质图书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相关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服务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(含配送、加工、上架)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的资格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及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能力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（4）参与人具有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年以上（包括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个以上同类项目销售和良好的售后服务应用成功案例,近三年未发生重大安全或质量事故。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（5）参与人须有良好的商业信誉和健全的财务制度。</w:t>
      </w:r>
    </w:p>
    <w:p>
      <w:pPr>
        <w:spacing w:after="0" w:line="500" w:lineRule="exact"/>
        <w:ind w:left="1130" w:leftChars="322" w:hanging="422" w:hangingChars="151"/>
        <w:jc w:val="lef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（6）参与人有依法缴纳税金的良好记录。</w:t>
      </w:r>
    </w:p>
    <w:p>
      <w:pPr>
        <w:spacing w:after="0" w:line="500" w:lineRule="exact"/>
        <w:ind w:left="1408" w:leftChars="322" w:hanging="700" w:hangingChars="250"/>
        <w:jc w:val="left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参与人所提供纸质图书主要为2019-2021年国内出版的中文图书及少量以往各年出版的精品图书，其中2020年及以后出版的新书种类60%以上。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午8:00至12:00、下午14:30至1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:30;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正式磋商文件售价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元人民币，购买须采用转账形式，磋商文件售出不退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购买须采用转账形式（以参与投标公司的账户），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并扫描转账单、营业执照及授权书发送至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微信账号：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13678904923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（请备注公司名称+姓名+项目名称）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ascii="仿宋" w:hAnsi="仿宋" w:eastAsia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文件格式要求：</w:t>
      </w:r>
    </w:p>
    <w:p>
      <w:pPr>
        <w:numPr>
          <w:ilvl w:val="0"/>
          <w:numId w:val="0"/>
        </w:numPr>
        <w:spacing w:after="0" w:line="500" w:lineRule="exact"/>
        <w:ind w:leftChars="171" w:firstLine="562" w:firstLineChars="200"/>
        <w:jc w:val="left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响应文件一式三份，分专业书籍及社科书两项报折扣。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响应文件递交截止时间：20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上午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:00前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639" w:leftChars="0" w:firstLineChars="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响应文件递交地点：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广州市增城区朱村街朱村大道东432号广州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松田职业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学院资产管理与采购处办公室。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陈彩捷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，电话：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13678904923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51" w:leftChars="0" w:hanging="431" w:firstLineChars="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正式磋商时间及地点：</w:t>
      </w:r>
    </w:p>
    <w:p>
      <w:pPr>
        <w:widowControl w:val="0"/>
        <w:numPr>
          <w:ilvl w:val="0"/>
          <w:numId w:val="0"/>
        </w:numPr>
        <w:spacing w:after="0" w:line="50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2021年7月23日</w:t>
      </w:r>
    </w:p>
    <w:p>
      <w:pPr>
        <w:widowControl w:val="0"/>
        <w:numPr>
          <w:ilvl w:val="0"/>
          <w:numId w:val="0"/>
        </w:numPr>
        <w:spacing w:after="0" w:line="50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广州市增城区朱村街朱村大道东432号广州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松田职业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学院。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51" w:leftChars="0" w:hanging="431" w:firstLineChars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参加本项目的参与人须在规定的时间内购买磋商文件，本项目不接受未购买磋商文件供应商的参与，且不予以书面通知磋商文件补充内容等。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71" w:leftChars="0" w:hanging="431" w:firstLineChars="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本项目需缴纳磋商保证金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元，成交参与人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磋商保证金自动转为履约质保金，履约质保金在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合同执行完毕后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无息退还，未成交参与人的磋商保证金，将按竞争性磋商文件规定在确定成交参与人成交通知书发出之后，二十个工作日办理原额无息退还手续。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71" w:leftChars="0" w:hanging="431" w:firstLineChars="0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671" w:leftChars="0" w:hanging="431" w:firstLineChars="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磋商文件购买及保证金汇款账号  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 </w:t>
      </w:r>
    </w:p>
    <w:p>
      <w:pPr>
        <w:widowControl w:val="0"/>
        <w:numPr>
          <w:ilvl w:val="0"/>
          <w:numId w:val="0"/>
        </w:numPr>
        <w:spacing w:after="0" w:line="500" w:lineRule="exact"/>
        <w:ind w:firstLine="840" w:firstLineChars="3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开户名称：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广州松田职业学院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账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3602 0411 1920 0112 713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840" w:firstLineChars="300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开户银行：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中国工商银行广州增城支行</w:t>
      </w:r>
    </w:p>
    <w:p>
      <w:pPr>
        <w:spacing w:line="500" w:lineRule="exact"/>
        <w:ind w:firstLine="6300" w:firstLineChars="225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6300" w:firstLineChars="225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广州松田职业学院</w:t>
      </w:r>
    </w:p>
    <w:p>
      <w:pPr>
        <w:spacing w:line="500" w:lineRule="exact"/>
        <w:ind w:firstLine="6300" w:firstLineChars="2250"/>
        <w:jc w:val="right"/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r>
      <w:t>HKEx Stock Code:839</w: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1"/>
        <w:szCs w:val="21"/>
      </w:rPr>
      <w:t>广州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松田职业学院</w:t>
    </w:r>
    <w:r>
      <w:rPr>
        <w:rFonts w:hint="eastAsia" w:ascii="仿宋" w:hAnsi="仿宋" w:eastAsia="仿宋" w:cs="仿宋"/>
        <w:sz w:val="21"/>
        <w:szCs w:val="21"/>
        <w:lang w:eastAsia="zh-CN"/>
      </w:rPr>
      <w:t>关于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纸质图书</w:t>
    </w:r>
    <w:r>
      <w:rPr>
        <w:rFonts w:hint="eastAsia" w:ascii="仿宋" w:hAnsi="仿宋" w:eastAsia="仿宋" w:cs="仿宋"/>
        <w:sz w:val="21"/>
        <w:szCs w:val="21"/>
        <w:lang w:eastAsia="zh-CN"/>
      </w:rPr>
      <w:t>采购项</w:t>
    </w:r>
    <w:r>
      <w:rPr>
        <w:rFonts w:hint="eastAsia" w:ascii="仿宋" w:hAnsi="仿宋" w:eastAsia="仿宋" w:cs="仿宋"/>
        <w:sz w:val="21"/>
        <w:szCs w:val="21"/>
      </w:rPr>
      <w:t>目（项目编号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B-ZB2021-05</w:t>
    </w:r>
    <w:r>
      <w:rPr>
        <w:rFonts w:hint="eastAsia" w:ascii="仿宋" w:hAnsi="仿宋" w:eastAsia="仿宋" w:cs="仿宋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74254A1"/>
    <w:rsid w:val="0B763D93"/>
    <w:rsid w:val="0EDC290D"/>
    <w:rsid w:val="116346F2"/>
    <w:rsid w:val="12212E7C"/>
    <w:rsid w:val="1F4E3EA0"/>
    <w:rsid w:val="24B70E50"/>
    <w:rsid w:val="2BAD1CC5"/>
    <w:rsid w:val="44C652C2"/>
    <w:rsid w:val="504211B4"/>
    <w:rsid w:val="50597BDC"/>
    <w:rsid w:val="54D800A5"/>
    <w:rsid w:val="57E70213"/>
    <w:rsid w:val="5C334444"/>
    <w:rsid w:val="5D4D3951"/>
    <w:rsid w:val="63856B53"/>
    <w:rsid w:val="6407124E"/>
    <w:rsid w:val="6DE76AA2"/>
    <w:rsid w:val="6E466822"/>
    <w:rsid w:val="7AC830B8"/>
    <w:rsid w:val="7D6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30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user</cp:lastModifiedBy>
  <dcterms:modified xsi:type="dcterms:W3CDTF">2021-07-12T10:55:03Z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E299A378E82C47D2A5BB99403A7848F1</vt:lpwstr>
  </property>
</Properties>
</file>